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D7224">
      <w:pPr>
        <w:pStyle w:val="6"/>
        <w:rPr>
          <w:rFonts w:hint="default" w:ascii="黑体" w:eastAsia="黑体"/>
          <w:sz w:val="32"/>
        </w:rPr>
      </w:pPr>
      <w:r>
        <w:rPr>
          <w:rFonts w:ascii="黑体" w:eastAsia="黑体"/>
          <w:sz w:val="32"/>
        </w:rPr>
        <w:t>附件2</w:t>
      </w:r>
    </w:p>
    <w:p w14:paraId="49520C25">
      <w:pPr>
        <w:pStyle w:val="6"/>
        <w:rPr>
          <w:rFonts w:hint="default"/>
          <w:b/>
          <w:sz w:val="44"/>
        </w:rPr>
      </w:pPr>
    </w:p>
    <w:p w14:paraId="6281A33D">
      <w:pPr>
        <w:pStyle w:val="6"/>
        <w:rPr>
          <w:rFonts w:hint="default"/>
          <w:b/>
          <w:sz w:val="44"/>
        </w:rPr>
      </w:pPr>
    </w:p>
    <w:p w14:paraId="48255655">
      <w:pPr>
        <w:pStyle w:val="6"/>
        <w:rPr>
          <w:rFonts w:hint="default"/>
          <w:b/>
          <w:sz w:val="44"/>
        </w:rPr>
      </w:pPr>
    </w:p>
    <w:p w14:paraId="463BBE86">
      <w:pPr>
        <w:pStyle w:val="6"/>
        <w:rPr>
          <w:rFonts w:hint="default"/>
          <w:b/>
          <w:sz w:val="44"/>
        </w:rPr>
      </w:pPr>
    </w:p>
    <w:p w14:paraId="18D0CF4C">
      <w:pPr>
        <w:pStyle w:val="6"/>
        <w:rPr>
          <w:rFonts w:hint="default"/>
          <w:b/>
          <w:sz w:val="44"/>
        </w:rPr>
      </w:pPr>
    </w:p>
    <w:p w14:paraId="74800AA3">
      <w:pPr>
        <w:pStyle w:val="6"/>
        <w:rPr>
          <w:rFonts w:hint="default"/>
          <w:b/>
          <w:sz w:val="44"/>
        </w:rPr>
      </w:pPr>
    </w:p>
    <w:p w14:paraId="38D4C27C">
      <w:pPr>
        <w:spacing w:line="540" w:lineRule="exact"/>
        <w:jc w:val="center"/>
        <w:rPr>
          <w:rFonts w:hint="default" w:ascii="宋体" w:hAnsi="宋体"/>
          <w:b/>
          <w:sz w:val="52"/>
          <w:szCs w:val="52"/>
        </w:rPr>
      </w:pPr>
      <w:r>
        <w:rPr>
          <w:rFonts w:ascii="宋体" w:hAnsi="宋体"/>
          <w:b/>
          <w:sz w:val="52"/>
          <w:szCs w:val="52"/>
        </w:rPr>
        <w:t>沈阳市浑南区卫生健康局</w:t>
      </w:r>
    </w:p>
    <w:p w14:paraId="60029119">
      <w:pPr>
        <w:spacing w:line="540" w:lineRule="exact"/>
        <w:jc w:val="center"/>
        <w:rPr>
          <w:rFonts w:hint="eastAsia" w:ascii="宋体" w:hAnsi="宋体" w:eastAsia="宋体"/>
          <w:b/>
          <w:color w:val="FF0000"/>
          <w:sz w:val="52"/>
          <w:szCs w:val="52"/>
          <w:lang w:eastAsia="zh-CN"/>
        </w:rPr>
      </w:pPr>
      <w:r>
        <w:rPr>
          <w:rFonts w:ascii="宋体" w:hAnsi="宋体"/>
          <w:b/>
          <w:sz w:val="52"/>
          <w:szCs w:val="52"/>
        </w:rPr>
        <w:t>2022决算</w:t>
      </w:r>
      <w:r>
        <w:rPr>
          <w:rFonts w:hint="eastAsia" w:ascii="宋体" w:hAnsi="宋体"/>
          <w:b/>
          <w:sz w:val="52"/>
          <w:szCs w:val="52"/>
          <w:lang w:eastAsia="zh-CN"/>
        </w:rPr>
        <w:t>说明</w:t>
      </w:r>
    </w:p>
    <w:p w14:paraId="489213E2">
      <w:pPr>
        <w:pStyle w:val="6"/>
        <w:jc w:val="center"/>
        <w:rPr>
          <w:rFonts w:hint="default" w:ascii="仿宋_GB2312" w:eastAsia="仿宋_GB2312"/>
          <w:b/>
          <w:sz w:val="52"/>
        </w:rPr>
      </w:pPr>
    </w:p>
    <w:p w14:paraId="5D62298B">
      <w:pPr>
        <w:pStyle w:val="6"/>
        <w:jc w:val="center"/>
        <w:rPr>
          <w:rFonts w:hint="default" w:ascii="仿宋_GB2312" w:eastAsia="仿宋_GB2312"/>
          <w:b/>
          <w:sz w:val="52"/>
        </w:rPr>
      </w:pPr>
    </w:p>
    <w:p w14:paraId="58DD5994">
      <w:pPr>
        <w:pStyle w:val="6"/>
        <w:jc w:val="center"/>
        <w:rPr>
          <w:rFonts w:hint="default" w:ascii="Times New Roman" w:eastAsia="Times New Roman"/>
          <w:b/>
          <w:sz w:val="44"/>
          <w:u w:val="single"/>
        </w:rPr>
      </w:pPr>
    </w:p>
    <w:p w14:paraId="438F4454">
      <w:pPr>
        <w:pStyle w:val="6"/>
        <w:jc w:val="center"/>
        <w:rPr>
          <w:rFonts w:hint="default" w:ascii="Times New Roman" w:eastAsia="Times New Roman"/>
          <w:b/>
          <w:sz w:val="44"/>
          <w:u w:val="single"/>
        </w:rPr>
      </w:pPr>
    </w:p>
    <w:p w14:paraId="62A6C3FA">
      <w:pPr>
        <w:pStyle w:val="6"/>
        <w:jc w:val="center"/>
        <w:rPr>
          <w:rFonts w:hint="default" w:ascii="Times New Roman" w:eastAsia="Times New Roman"/>
          <w:b/>
          <w:sz w:val="44"/>
          <w:u w:val="single"/>
        </w:rPr>
      </w:pPr>
    </w:p>
    <w:p w14:paraId="2F2D3593">
      <w:pPr>
        <w:pStyle w:val="6"/>
        <w:jc w:val="center"/>
        <w:rPr>
          <w:rFonts w:hint="default" w:ascii="Times New Roman" w:eastAsia="Times New Roman"/>
          <w:b/>
          <w:sz w:val="44"/>
          <w:u w:val="single"/>
        </w:rPr>
      </w:pPr>
    </w:p>
    <w:p w14:paraId="6976D8D4">
      <w:pPr>
        <w:pStyle w:val="6"/>
        <w:jc w:val="center"/>
        <w:rPr>
          <w:rFonts w:hint="default" w:ascii="Times New Roman" w:eastAsia="Times New Roman"/>
          <w:b/>
          <w:sz w:val="44"/>
          <w:u w:val="single"/>
        </w:rPr>
      </w:pPr>
    </w:p>
    <w:p w14:paraId="24B63334">
      <w:pPr>
        <w:pStyle w:val="6"/>
        <w:jc w:val="center"/>
        <w:rPr>
          <w:rFonts w:hint="default" w:ascii="Times New Roman" w:eastAsia="Times New Roman"/>
          <w:b/>
          <w:sz w:val="44"/>
          <w:u w:val="single"/>
        </w:rPr>
      </w:pPr>
    </w:p>
    <w:p w14:paraId="689E9C8E">
      <w:pPr>
        <w:pStyle w:val="6"/>
        <w:jc w:val="center"/>
        <w:rPr>
          <w:rFonts w:hint="default" w:ascii="Times New Roman" w:eastAsia="Times New Roman"/>
          <w:b/>
          <w:sz w:val="44"/>
          <w:u w:val="single"/>
        </w:rPr>
      </w:pPr>
    </w:p>
    <w:p w14:paraId="52BB0333">
      <w:pPr>
        <w:pStyle w:val="6"/>
        <w:jc w:val="center"/>
        <w:rPr>
          <w:rFonts w:hint="default" w:ascii="Times New Roman" w:eastAsiaTheme="minorEastAsia"/>
          <w:b/>
          <w:sz w:val="44"/>
          <w:u w:val="single"/>
        </w:rPr>
      </w:pPr>
    </w:p>
    <w:p w14:paraId="36C261E8">
      <w:pPr>
        <w:pStyle w:val="6"/>
        <w:jc w:val="center"/>
        <w:rPr>
          <w:rFonts w:hint="default" w:ascii="Times New Roman" w:eastAsiaTheme="minorEastAsia"/>
          <w:b/>
          <w:sz w:val="44"/>
          <w:u w:val="single"/>
        </w:rPr>
      </w:pPr>
    </w:p>
    <w:p w14:paraId="51DD7B55">
      <w:pPr>
        <w:pStyle w:val="6"/>
        <w:jc w:val="center"/>
        <w:rPr>
          <w:rFonts w:hint="default" w:ascii="Times New Roman" w:eastAsia="Times New Roman"/>
          <w:b/>
          <w:sz w:val="44"/>
          <w:u w:val="single"/>
        </w:rPr>
      </w:pPr>
    </w:p>
    <w:p w14:paraId="2F989099">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24A37681">
      <w:pPr>
        <w:pStyle w:val="6"/>
        <w:spacing w:line="560" w:lineRule="exact"/>
        <w:rPr>
          <w:rFonts w:hint="default" w:ascii="Times New Roman" w:eastAsia="Times New Roman"/>
          <w:b/>
          <w:sz w:val="44"/>
          <w:u w:val="single"/>
        </w:rPr>
      </w:pPr>
    </w:p>
    <w:p w14:paraId="4CFA323C">
      <w:pPr>
        <w:pStyle w:val="6"/>
        <w:spacing w:line="560" w:lineRule="exact"/>
        <w:rPr>
          <w:rFonts w:hint="default" w:ascii="黑体" w:eastAsia="黑体"/>
          <w:sz w:val="32"/>
        </w:rPr>
      </w:pPr>
      <w:r>
        <w:rPr>
          <w:rFonts w:ascii="黑体" w:eastAsia="黑体"/>
          <w:sz w:val="32"/>
        </w:rPr>
        <w:t>第一部分    部门概况</w:t>
      </w:r>
    </w:p>
    <w:p w14:paraId="38AC1BDB">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1EAB0ACA">
      <w:pPr>
        <w:pStyle w:val="6"/>
        <w:spacing w:line="560" w:lineRule="exact"/>
        <w:rPr>
          <w:rFonts w:hint="default" w:ascii="仿宋_GB2312" w:eastAsia="仿宋_GB2312"/>
          <w:sz w:val="32"/>
        </w:rPr>
      </w:pPr>
      <w:r>
        <w:rPr>
          <w:rFonts w:ascii="仿宋_GB2312" w:eastAsia="仿宋_GB2312"/>
          <w:sz w:val="32"/>
        </w:rPr>
        <w:t>二、决算单位构成</w:t>
      </w:r>
    </w:p>
    <w:p w14:paraId="00864287">
      <w:pPr>
        <w:pStyle w:val="6"/>
        <w:spacing w:line="560" w:lineRule="exact"/>
        <w:rPr>
          <w:rFonts w:hint="default" w:ascii="黑体" w:eastAsia="黑体"/>
          <w:sz w:val="32"/>
        </w:rPr>
      </w:pPr>
      <w:r>
        <w:rPr>
          <w:rFonts w:ascii="黑体" w:eastAsia="黑体"/>
          <w:sz w:val="32"/>
        </w:rPr>
        <w:t>第二部分    2022年度决算情况说明</w:t>
      </w:r>
    </w:p>
    <w:p w14:paraId="0C5820B1">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D0C41CC">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73E188B3">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47193F8F">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3B2161AD">
      <w:pPr>
        <w:pStyle w:val="6"/>
        <w:spacing w:line="560" w:lineRule="exact"/>
        <w:rPr>
          <w:rFonts w:hint="default" w:ascii="黑体" w:eastAsia="黑体"/>
          <w:sz w:val="32"/>
        </w:rPr>
      </w:pPr>
      <w:r>
        <w:rPr>
          <w:rFonts w:ascii="仿宋_GB2312" w:eastAsia="仿宋_GB2312"/>
          <w:sz w:val="32"/>
        </w:rPr>
        <w:t>五、其他重要事项的情况说明</w:t>
      </w:r>
    </w:p>
    <w:p w14:paraId="421E6E92">
      <w:pPr>
        <w:pStyle w:val="6"/>
        <w:spacing w:line="560" w:lineRule="exact"/>
        <w:rPr>
          <w:rFonts w:hint="default" w:ascii="黑体" w:eastAsia="黑体"/>
          <w:sz w:val="32"/>
        </w:rPr>
      </w:pPr>
      <w:r>
        <w:rPr>
          <w:rFonts w:ascii="黑体" w:eastAsia="黑体"/>
          <w:sz w:val="32"/>
        </w:rPr>
        <w:t>第三部分    名词解释</w:t>
      </w:r>
    </w:p>
    <w:p w14:paraId="2A97ACBE">
      <w:pPr>
        <w:spacing w:line="540" w:lineRule="exact"/>
        <w:rPr>
          <w:rFonts w:hint="default" w:ascii="黑体" w:hAnsi="黑体" w:eastAsia="黑体"/>
          <w:sz w:val="32"/>
          <w:szCs w:val="32"/>
        </w:rPr>
      </w:pPr>
      <w:r>
        <w:rPr>
          <w:rFonts w:ascii="黑体" w:hAnsi="黑体" w:eastAsia="黑体"/>
          <w:sz w:val="32"/>
          <w:szCs w:val="32"/>
        </w:rPr>
        <w:t>第四部分    2022年度决算报表</w:t>
      </w:r>
    </w:p>
    <w:p w14:paraId="23714DA9">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14:paraId="4474BFA0">
      <w:pPr>
        <w:spacing w:line="540" w:lineRule="exact"/>
        <w:rPr>
          <w:rFonts w:hint="default" w:ascii="仿宋_GB2312" w:eastAsia="仿宋_GB2312"/>
          <w:sz w:val="32"/>
          <w:szCs w:val="32"/>
        </w:rPr>
      </w:pPr>
      <w:r>
        <w:rPr>
          <w:rFonts w:ascii="仿宋_GB2312" w:eastAsia="仿宋_GB2312"/>
          <w:sz w:val="32"/>
          <w:szCs w:val="32"/>
        </w:rPr>
        <w:t>二、收入决算表</w:t>
      </w:r>
    </w:p>
    <w:p w14:paraId="63915E85">
      <w:pPr>
        <w:spacing w:line="540" w:lineRule="exact"/>
        <w:rPr>
          <w:rFonts w:hint="default" w:ascii="仿宋_GB2312" w:eastAsia="仿宋_GB2312"/>
          <w:sz w:val="32"/>
          <w:szCs w:val="32"/>
        </w:rPr>
      </w:pPr>
      <w:r>
        <w:rPr>
          <w:rFonts w:ascii="仿宋_GB2312" w:eastAsia="仿宋_GB2312"/>
          <w:sz w:val="32"/>
          <w:szCs w:val="32"/>
        </w:rPr>
        <w:t>三、支出决算表</w:t>
      </w:r>
    </w:p>
    <w:p w14:paraId="1C8E959B">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14:paraId="0BCDDF01">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14:paraId="2C3DBFC8">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14:paraId="12E3614F">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14:paraId="39954A95">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14:paraId="13AE101C">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14:paraId="5181EBE6">
      <w:pPr>
        <w:spacing w:line="540" w:lineRule="exact"/>
        <w:rPr>
          <w:rFonts w:hint="default" w:ascii="黑体" w:hAnsi="黑体" w:eastAsia="黑体"/>
          <w:b/>
          <w:sz w:val="44"/>
          <w:szCs w:val="44"/>
          <w:u w:val="single"/>
        </w:rPr>
      </w:pPr>
      <w:r>
        <w:rPr>
          <w:rFonts w:ascii="黑体" w:hAnsi="黑体" w:eastAsia="黑体"/>
          <w:sz w:val="32"/>
          <w:szCs w:val="32"/>
        </w:rPr>
        <w:t>第五部分    附件</w:t>
      </w:r>
    </w:p>
    <w:p w14:paraId="3CD61A3E">
      <w:pPr>
        <w:pStyle w:val="6"/>
        <w:spacing w:line="560" w:lineRule="exact"/>
        <w:jc w:val="center"/>
        <w:rPr>
          <w:rFonts w:hint="default"/>
          <w:b/>
          <w:sz w:val="36"/>
        </w:rPr>
      </w:pPr>
    </w:p>
    <w:p w14:paraId="0CD679E7">
      <w:pPr>
        <w:pStyle w:val="6"/>
        <w:spacing w:line="560" w:lineRule="exact"/>
        <w:jc w:val="center"/>
        <w:rPr>
          <w:rFonts w:hint="default"/>
          <w:b/>
          <w:sz w:val="36"/>
        </w:rPr>
      </w:pPr>
    </w:p>
    <w:p w14:paraId="4F845097">
      <w:pPr>
        <w:pStyle w:val="6"/>
        <w:spacing w:line="560" w:lineRule="exact"/>
        <w:jc w:val="center"/>
        <w:rPr>
          <w:rFonts w:hint="default" w:ascii="黑体" w:eastAsia="黑体"/>
          <w:sz w:val="32"/>
        </w:rPr>
      </w:pPr>
      <w:r>
        <w:rPr>
          <w:b/>
          <w:sz w:val="36"/>
        </w:rPr>
        <w:t>第一部分沈阳市浑南区卫生健康局概况</w:t>
      </w:r>
    </w:p>
    <w:p w14:paraId="19E8F815">
      <w:pPr>
        <w:pStyle w:val="6"/>
        <w:spacing w:line="560" w:lineRule="exact"/>
        <w:ind w:firstLine="640"/>
        <w:rPr>
          <w:rFonts w:hint="default" w:ascii="黑体" w:eastAsia="黑体"/>
          <w:sz w:val="32"/>
        </w:rPr>
      </w:pPr>
      <w:r>
        <w:rPr>
          <w:rFonts w:ascii="黑体" w:eastAsia="黑体"/>
          <w:sz w:val="32"/>
        </w:rPr>
        <w:t>一、主要职责</w:t>
      </w:r>
    </w:p>
    <w:p w14:paraId="5AA6E980">
      <w:pPr>
        <w:pStyle w:val="6"/>
        <w:spacing w:line="560" w:lineRule="exact"/>
        <w:ind w:firstLine="660"/>
        <w:rPr>
          <w:rFonts w:hint="default" w:ascii="仿宋_GB2312" w:eastAsia="仿宋_GB2312"/>
          <w:sz w:val="32"/>
        </w:rPr>
      </w:pPr>
      <w:r>
        <w:rPr>
          <w:rFonts w:ascii="仿宋_GB2312" w:eastAsia="仿宋_GB2312"/>
          <w:sz w:val="32"/>
        </w:rPr>
        <w:t>（一）</w:t>
      </w:r>
      <w:r>
        <w:rPr>
          <w:rFonts w:hint="eastAsia" w:ascii="仿宋_GB2312" w:eastAsia="仿宋_GB2312"/>
          <w:sz w:val="32"/>
          <w:lang w:eastAsia="zh-CN"/>
        </w:rPr>
        <w:t>贯彻执行</w:t>
      </w:r>
      <w:r>
        <w:rPr>
          <w:rFonts w:ascii="仿宋_GB2312" w:eastAsia="仿宋_GB2312"/>
          <w:sz w:val="32"/>
        </w:rPr>
        <w:t xml:space="preserve">国家关于国民健康、卫生健康监督、疾病预防控制和中医药事业发展的方针、政策和法律、法规、规章及省、市有关要求，统筹规划卫生健康資源配置，制定并组织实施区域卫生健康规划，制定卫生健康基本公共服务均等化、普惠化、便捷化和公共资源向基层延伸的政策措施。             </w:t>
      </w:r>
    </w:p>
    <w:p w14:paraId="39D50CA7">
      <w:pPr>
        <w:pStyle w:val="6"/>
        <w:spacing w:line="560" w:lineRule="exact"/>
        <w:ind w:firstLine="660"/>
        <w:rPr>
          <w:rFonts w:hint="default" w:ascii="仿宋_GB2312" w:eastAsia="仿宋_GB2312"/>
          <w:sz w:val="32"/>
        </w:rPr>
      </w:pPr>
      <w:r>
        <w:rPr>
          <w:rFonts w:ascii="仿宋_GB2312" w:eastAsia="仿宋_GB2312"/>
          <w:sz w:val="32"/>
        </w:rPr>
        <w:t xml:space="preserve">（二) 协调推进深化医药卫生体制改革，贯彻落实深化医药卫生体制改革的重大方针、政策，组织深化公立医院综合改革，推进管办分离，健全现代医院管理制度，制定并组织实施推动卫生健康公共服务提供主体多元化、方式多样化的政策措施，提出医疗服务和药品价格政策的建议。                 </w:t>
      </w:r>
    </w:p>
    <w:p w14:paraId="303717B9">
      <w:pPr>
        <w:pStyle w:val="6"/>
        <w:spacing w:line="560" w:lineRule="exact"/>
        <w:ind w:firstLine="660"/>
        <w:rPr>
          <w:rFonts w:hint="default" w:ascii="仿宋_GB2312" w:eastAsia="仿宋_GB2312"/>
          <w:sz w:val="32"/>
        </w:rPr>
      </w:pPr>
      <w:r>
        <w:rPr>
          <w:rFonts w:ascii="仿宋_GB2312" w:eastAsia="仿宋_GB2312"/>
          <w:sz w:val="32"/>
        </w:rPr>
        <w:t>（三）制定区域疾病预防控制规划，执行国家免疫规划，实施严重危害人民健康公共卫生问题</w:t>
      </w:r>
      <w:bookmarkStart w:id="0" w:name="_GoBack"/>
      <w:bookmarkEnd w:id="0"/>
      <w:r>
        <w:rPr>
          <w:rFonts w:ascii="仿宋_GB2312" w:eastAsia="仿宋_GB2312"/>
          <w:sz w:val="32"/>
        </w:rPr>
        <w:t>的干预措施。负责辖区内疾病预防控制具体工作的组织，管理和落实，组织开展免疫规划工作，实施与监督基本公共卫生服务项目，疫情和公共卫生健康危害因素监测、检测、报告，开展卫生健康促进与健康教育活动。负责卫生应急工作，制定全区卫生应急和紧急医疗救援预案、突发公共卫生事件监测和风险评估计划，组织指导突发公共卫生事件的应急处理和各类突发公共事件的紧急医疗救援。</w:t>
      </w:r>
    </w:p>
    <w:p w14:paraId="02139D03">
      <w:pPr>
        <w:pStyle w:val="6"/>
        <w:spacing w:line="560" w:lineRule="exact"/>
        <w:ind w:firstLine="660"/>
        <w:rPr>
          <w:rFonts w:hint="default" w:ascii="仿宋_GB2312" w:eastAsia="仿宋_GB2312"/>
          <w:sz w:val="32"/>
        </w:rPr>
      </w:pPr>
      <w:r>
        <w:rPr>
          <w:rFonts w:ascii="仿宋_GB2312" w:eastAsia="仿宋_GB2312"/>
          <w:sz w:val="32"/>
        </w:rPr>
        <w:t>(四〕受区政府委托承担卫生健康监督执法工作，制订本区</w:t>
      </w:r>
      <w:r>
        <w:rPr>
          <w:rFonts w:hint="eastAsia" w:ascii="仿宋_GB2312" w:eastAsia="仿宋_GB2312"/>
          <w:sz w:val="32"/>
          <w:lang w:eastAsia="zh-CN"/>
        </w:rPr>
        <w:t>卫生健康</w:t>
      </w:r>
      <w:r>
        <w:rPr>
          <w:rFonts w:ascii="仿宋_GB2312" w:eastAsia="仿宋_GB2312"/>
          <w:sz w:val="32"/>
        </w:rPr>
        <w:t>监督发展规划并组织实施，负责辖区内传染病防治、医疗机构、计划生育．生活饮用水、公共场所、学校卫生、职业卫生、放射卫生、消毒产品的监督执法工作，承担违反卫生法律法规行为的投诉举报的调查处理工作。</w:t>
      </w:r>
    </w:p>
    <w:p w14:paraId="2403AC19">
      <w:pPr>
        <w:pStyle w:val="6"/>
        <w:spacing w:line="560" w:lineRule="exact"/>
        <w:ind w:firstLine="660"/>
        <w:rPr>
          <w:rFonts w:hint="default" w:ascii="仿宋_GB2312" w:eastAsia="仿宋_GB2312"/>
          <w:sz w:val="32"/>
        </w:rPr>
      </w:pPr>
      <w:r>
        <w:rPr>
          <w:rFonts w:ascii="仿宋_GB2312" w:eastAsia="仿宋_GB2312"/>
          <w:sz w:val="32"/>
        </w:rPr>
        <w:t>(五）组纸协调落实应对人口老路化政策措施，负责推选老年使康服务体柔建设和医养结合工作。</w:t>
      </w:r>
    </w:p>
    <w:p w14:paraId="5D70A7AA">
      <w:pPr>
        <w:pStyle w:val="6"/>
        <w:spacing w:line="560" w:lineRule="exact"/>
        <w:ind w:firstLine="660"/>
        <w:rPr>
          <w:rFonts w:hint="default" w:ascii="仿宋_GB2312" w:eastAsia="仿宋_GB2312"/>
          <w:sz w:val="32"/>
        </w:rPr>
      </w:pPr>
      <w:r>
        <w:rPr>
          <w:rFonts w:ascii="仿宋_GB2312" w:eastAsia="仿宋_GB2312"/>
          <w:sz w:val="32"/>
        </w:rPr>
        <w:t>(六）组织实施国家药物政策和基本药物制度，开展药品使用监测、临床綜合评价和短缺药品预警。</w:t>
      </w:r>
    </w:p>
    <w:p w14:paraId="2EBB355B">
      <w:pPr>
        <w:pStyle w:val="6"/>
        <w:spacing w:line="560" w:lineRule="exact"/>
        <w:ind w:firstLine="660"/>
        <w:rPr>
          <w:rFonts w:hint="default" w:ascii="仿宋_GB2312" w:eastAsia="仿宋_GB2312"/>
          <w:sz w:val="32"/>
        </w:rPr>
      </w:pPr>
      <w:r>
        <w:rPr>
          <w:rFonts w:ascii="仿宋_GB2312" w:eastAsia="仿宋_GB2312"/>
          <w:sz w:val="32"/>
        </w:rPr>
        <w:t>(七〕负责组织实施医疗机构，医疗服务行业管理办法，并监督落实情况，建立医疗服务评价和监督管理体系。</w:t>
      </w:r>
    </w:p>
    <w:p w14:paraId="445408D5">
      <w:pPr>
        <w:pStyle w:val="6"/>
        <w:spacing w:line="560" w:lineRule="exact"/>
        <w:ind w:firstLine="660"/>
        <w:rPr>
          <w:rFonts w:hint="default" w:ascii="仿宋_GB2312" w:eastAsia="仿宋_GB2312"/>
          <w:sz w:val="32"/>
        </w:rPr>
      </w:pPr>
      <w:r>
        <w:rPr>
          <w:rFonts w:ascii="仿宋_GB2312" w:eastAsia="仿宋_GB2312"/>
          <w:sz w:val="32"/>
        </w:rPr>
        <w:t>(八) 负责计划生育管理和服务工作，开展人口监测预警，研究提出人口与家庭发展相关致第建议;贯彻落实计划生育政策。</w:t>
      </w:r>
    </w:p>
    <w:p w14:paraId="7D642FC4">
      <w:pPr>
        <w:pStyle w:val="6"/>
        <w:spacing w:line="560" w:lineRule="exact"/>
        <w:ind w:firstLine="660"/>
        <w:rPr>
          <w:rFonts w:hint="default" w:ascii="仿宋_GB2312" w:eastAsia="仿宋_GB2312"/>
          <w:sz w:val="32"/>
        </w:rPr>
      </w:pPr>
      <w:r>
        <w:rPr>
          <w:rFonts w:ascii="仿宋_GB2312" w:eastAsia="仿宋_GB2312"/>
          <w:sz w:val="32"/>
        </w:rPr>
        <w:t>（九) 指导基层卫生健康工作，指导基层医疗卫生</w:t>
      </w:r>
      <w:r>
        <w:rPr>
          <w:rFonts w:hint="eastAsia" w:ascii="仿宋_GB2312" w:eastAsia="仿宋_GB2312"/>
          <w:sz w:val="32"/>
          <w:lang w:eastAsia="zh-CN"/>
        </w:rPr>
        <w:t>服务态度</w:t>
      </w:r>
      <w:r>
        <w:rPr>
          <w:rFonts w:ascii="仿宋_GB2312" w:eastAsia="仿宋_GB2312"/>
          <w:sz w:val="32"/>
        </w:rPr>
        <w:t>和全科医生队伍建设。推进卫生健康科技创新发展，加强全科医生等急需紧缺专业人才培训。</w:t>
      </w:r>
    </w:p>
    <w:p w14:paraId="57B67EF6">
      <w:pPr>
        <w:pStyle w:val="6"/>
        <w:spacing w:line="560" w:lineRule="exact"/>
        <w:ind w:firstLine="660"/>
        <w:rPr>
          <w:rFonts w:hint="default" w:ascii="仿宋_GB2312" w:eastAsia="仿宋_GB2312"/>
          <w:sz w:val="32"/>
        </w:rPr>
      </w:pPr>
      <w:r>
        <w:rPr>
          <w:rFonts w:ascii="仿宋_GB2312" w:eastAsia="仿宋_GB2312"/>
          <w:sz w:val="32"/>
        </w:rPr>
        <w:t>（十)组织你定全区中医药事业发展规划，负责各类中医医疗机构和中医医疗，预防保健、康复，护理及临床用药等监督管理，指导中医药教育，人才培养。</w:t>
      </w:r>
    </w:p>
    <w:p w14:paraId="63E2EACE">
      <w:pPr>
        <w:pStyle w:val="6"/>
        <w:spacing w:line="560" w:lineRule="exact"/>
        <w:ind w:firstLine="660"/>
        <w:rPr>
          <w:rFonts w:hint="default" w:ascii="仿宋_GB2312" w:eastAsia="仿宋_GB2312"/>
          <w:sz w:val="32"/>
        </w:rPr>
      </w:pPr>
      <w:r>
        <w:rPr>
          <w:rFonts w:ascii="仿宋_GB2312" w:eastAsia="仿宋_GB2312"/>
          <w:sz w:val="32"/>
        </w:rPr>
        <w:t>（十一）指导全区卫生健康综合监督工作。</w:t>
      </w:r>
    </w:p>
    <w:p w14:paraId="3A2D017C">
      <w:pPr>
        <w:pStyle w:val="6"/>
        <w:spacing w:line="560" w:lineRule="exact"/>
        <w:ind w:firstLine="660"/>
        <w:rPr>
          <w:rFonts w:hint="default" w:ascii="仿宋_GB2312" w:eastAsia="仿宋_GB2312"/>
          <w:sz w:val="32"/>
        </w:rPr>
      </w:pPr>
      <w:r>
        <w:rPr>
          <w:rFonts w:ascii="仿宋_GB2312" w:eastAsia="仿宋_GB2312"/>
          <w:sz w:val="32"/>
        </w:rPr>
        <w:t>（十二）承担区重要会议和重大活动的医疗保障工作。</w:t>
      </w:r>
    </w:p>
    <w:p w14:paraId="5B53F7FE">
      <w:pPr>
        <w:pStyle w:val="6"/>
        <w:spacing w:line="560" w:lineRule="exact"/>
        <w:ind w:firstLine="660"/>
        <w:rPr>
          <w:rFonts w:hint="default" w:ascii="仿宋_GB2312" w:eastAsia="仿宋_GB2312"/>
          <w:sz w:val="32"/>
        </w:rPr>
      </w:pPr>
      <w:r>
        <w:rPr>
          <w:rFonts w:ascii="仿宋_GB2312" w:eastAsia="仿宋_GB2312"/>
          <w:sz w:val="32"/>
        </w:rPr>
        <w:t>〔十三）承担区深化医药卫生体制改革领导小组、区爱国卫生运动委员会、区老龄工作委员会的日常工作。</w:t>
      </w:r>
    </w:p>
    <w:p w14:paraId="6712760A">
      <w:pPr>
        <w:pStyle w:val="6"/>
        <w:spacing w:line="560" w:lineRule="exact"/>
        <w:ind w:firstLine="660"/>
        <w:rPr>
          <w:rFonts w:hint="default" w:ascii="仿宋_GB2312" w:eastAsia="仿宋_GB2312"/>
          <w:sz w:val="32"/>
        </w:rPr>
      </w:pPr>
      <w:r>
        <w:rPr>
          <w:rFonts w:ascii="仿宋_GB2312" w:eastAsia="仿宋_GB2312"/>
          <w:sz w:val="32"/>
        </w:rPr>
        <w:t>（十四）负责研究制定全区卫生健康人才队伍建设规划并组织实施，负责全区卫生健康人才队伍建设工作，联系服务一批优秀卫生佳康人才，做好卫生健康人才典型培养、宣传等工作。</w:t>
      </w:r>
    </w:p>
    <w:p w14:paraId="33AC8AF1">
      <w:pPr>
        <w:pStyle w:val="6"/>
        <w:spacing w:line="560" w:lineRule="exact"/>
        <w:ind w:firstLine="660"/>
        <w:rPr>
          <w:rFonts w:hint="default" w:ascii="仿宋_GB2312" w:eastAsia="仿宋_GB2312"/>
          <w:sz w:val="32"/>
        </w:rPr>
      </w:pPr>
      <w:r>
        <w:rPr>
          <w:rFonts w:ascii="仿宋_GB2312" w:eastAsia="仿宋_GB2312"/>
          <w:sz w:val="32"/>
        </w:rPr>
        <w:t>〔十五）负责卫生系统安全生产和职业健康监督管理工作。</w:t>
      </w:r>
    </w:p>
    <w:p w14:paraId="56BBF0A3">
      <w:pPr>
        <w:pStyle w:val="6"/>
        <w:spacing w:line="560" w:lineRule="exact"/>
        <w:ind w:firstLine="660"/>
        <w:rPr>
          <w:rFonts w:hint="default" w:ascii="仿宋_GB2312" w:eastAsia="仿宋_GB2312"/>
          <w:sz w:val="32"/>
        </w:rPr>
      </w:pPr>
      <w:r>
        <w:rPr>
          <w:rFonts w:ascii="仿宋_GB2312" w:eastAsia="仿宋_GB2312"/>
          <w:sz w:val="32"/>
        </w:rPr>
        <w:t>（十六)本部门权责清单和政务服务事项清单在区政府门户</w:t>
      </w:r>
    </w:p>
    <w:p w14:paraId="016EDB36">
      <w:pPr>
        <w:pStyle w:val="6"/>
        <w:spacing w:line="560" w:lineRule="exact"/>
        <w:ind w:firstLine="660"/>
        <w:rPr>
          <w:rFonts w:hint="default" w:ascii="仿宋_GB2312" w:eastAsia="仿宋_GB2312"/>
          <w:sz w:val="32"/>
        </w:rPr>
      </w:pPr>
      <w:r>
        <w:rPr>
          <w:rFonts w:ascii="仿宋_GB2312" w:eastAsia="仿宋_GB2312"/>
          <w:sz w:val="32"/>
        </w:rPr>
        <w:t>网站上公布。</w:t>
      </w:r>
    </w:p>
    <w:p w14:paraId="7A84373B">
      <w:pPr>
        <w:pStyle w:val="6"/>
        <w:spacing w:line="560" w:lineRule="exact"/>
        <w:ind w:firstLine="660"/>
        <w:rPr>
          <w:rFonts w:hint="default" w:ascii="仿宋_GB2312" w:eastAsia="仿宋_GB2312"/>
          <w:sz w:val="32"/>
        </w:rPr>
      </w:pPr>
      <w:r>
        <w:rPr>
          <w:rFonts w:ascii="仿宋_GB2312" w:eastAsia="仿宋_GB2312"/>
          <w:sz w:val="32"/>
        </w:rPr>
        <w:t>（十七）完成区委、区政府交办的其他任务。</w:t>
      </w:r>
    </w:p>
    <w:p w14:paraId="34A1D38D">
      <w:pPr>
        <w:pStyle w:val="6"/>
        <w:spacing w:line="560" w:lineRule="exact"/>
        <w:ind w:firstLine="660"/>
        <w:rPr>
          <w:rFonts w:hint="default" w:ascii="仿宋_GB2312" w:eastAsia="仿宋_GB2312"/>
          <w:sz w:val="32"/>
        </w:rPr>
      </w:pPr>
      <w:r>
        <w:rPr>
          <w:rFonts w:ascii="仿宋_GB2312" w:eastAsia="仿宋_GB2312"/>
          <w:sz w:val="32"/>
        </w:rPr>
        <w:t>〔十八）职能转变。区卫生健康局应当牢固树立大卫生、大健康理念，推动实施健康中国战略，以改革创新为动力，以促健康、转模式，强基层．重保障为着力点，把以治病为中心转变到以人民健康为中心，为人民群众提供全方位全周期健康服务。一是更加注重预防为主和健康促进，积极立对人口老龄化，健全健康服务体系和公共卫生,二是更加注重工作重心下移和资源下沉。推进卫生健康公共资源向基层延伸，向农村覆盖、问边远地区和主活困难群众倾斜。</w:t>
      </w:r>
    </w:p>
    <w:p w14:paraId="005BD0E9">
      <w:pPr>
        <w:pStyle w:val="6"/>
        <w:spacing w:line="560" w:lineRule="exact"/>
        <w:ind w:firstLine="660"/>
        <w:rPr>
          <w:rFonts w:hint="default" w:ascii="仿宋_GB2312" w:eastAsia="仿宋_GB2312"/>
          <w:sz w:val="32"/>
        </w:rPr>
      </w:pPr>
      <w:r>
        <w:rPr>
          <w:rFonts w:ascii="仿宋_GB2312" w:eastAsia="仿宋_GB2312"/>
          <w:sz w:val="32"/>
        </w:rPr>
        <w:t>（十九）有关职责分工。</w:t>
      </w:r>
    </w:p>
    <w:p w14:paraId="20B14A1D">
      <w:pPr>
        <w:pStyle w:val="6"/>
        <w:spacing w:line="560" w:lineRule="exact"/>
        <w:ind w:firstLine="660"/>
        <w:rPr>
          <w:rFonts w:hint="default" w:ascii="仿宋_GB2312" w:eastAsia="仿宋_GB2312"/>
          <w:sz w:val="32"/>
        </w:rPr>
      </w:pPr>
      <w:r>
        <w:rPr>
          <w:rFonts w:ascii="仿宋_GB2312" w:eastAsia="仿宋_GB2312"/>
          <w:sz w:val="32"/>
        </w:rPr>
        <w:t>与发展和改革局的有关职责分工。卫生健康局负责开展人口监测预警工作，研究提出与生育相关的人口数量、素质．结构、分布方面的政策建议，促进生育政策和相关经济社会政策配套衔接，参与制定人口发展规划和政策，落实人口发展规划中的有关住务．发展和改革局负责组织监测和评估人口变动情况及趋势影响，建立人口预测预报制度，开展重大决策人口影响评估，完善重大人口政策咨询机制，研究提出国家人口发展战略，拟订人口发展规划和人口政策，研究提出人口与经济、社会、资源．环境协调可持续发展，以及统筹促进人口长期均衡发展的政策建议。</w:t>
      </w:r>
    </w:p>
    <w:p w14:paraId="36D34E79">
      <w:pPr>
        <w:pStyle w:val="6"/>
        <w:spacing w:line="560" w:lineRule="exact"/>
        <w:ind w:firstLine="660"/>
        <w:rPr>
          <w:rFonts w:hint="default" w:ascii="仿宋_GB2312" w:eastAsia="仿宋_GB2312"/>
          <w:sz w:val="32"/>
        </w:rPr>
      </w:pPr>
      <w:r>
        <w:rPr>
          <w:rFonts w:ascii="仿宋_GB2312" w:eastAsia="仿宋_GB2312"/>
          <w:sz w:val="32"/>
        </w:rPr>
        <w:t>2．与民政局的有关职责分工。区卫生健康局负责拟订应对人口老龄化、医养结合政第指施，综合协调、香促指导、组织推进老龄事业发展，承担老年疾病防治、老年人医疗照护、老年人心理健康与关怀服务等老年健康工作。区民致局负责统筹推进、督促指导、监督管理养老服务工作，组织实施养老服务体系建设规划、法规、政策、标准，承担老年人福利和特殊困难老年大发放和救助工作，</w:t>
      </w:r>
    </w:p>
    <w:p w14:paraId="32F99ED9">
      <w:pPr>
        <w:pStyle w:val="6"/>
        <w:spacing w:line="560" w:lineRule="exact"/>
        <w:ind w:firstLine="660"/>
        <w:rPr>
          <w:rFonts w:hint="default" w:ascii="仿宋_GB2312" w:eastAsia="仿宋_GB2312"/>
          <w:sz w:val="32"/>
        </w:rPr>
      </w:pPr>
      <w:r>
        <w:rPr>
          <w:rFonts w:ascii="仿宋_GB2312" w:eastAsia="仿宋_GB2312"/>
          <w:sz w:val="32"/>
        </w:rPr>
        <w:t xml:space="preserve">3．与市场监督管理局的有关职责分工。区卫生健康局负责食品安全风险监测和食源性疾病监测工作，会同区市场监督管理局等部门制定．实施食品安全风险监测计划。             </w:t>
      </w:r>
    </w:p>
    <w:p w14:paraId="58BCB1D4">
      <w:pPr>
        <w:pStyle w:val="6"/>
        <w:spacing w:line="560" w:lineRule="exact"/>
        <w:ind w:firstLine="660"/>
        <w:rPr>
          <w:rFonts w:hint="default" w:ascii="仿宋_GB2312" w:eastAsia="仿宋_GB2312"/>
          <w:sz w:val="32"/>
        </w:rPr>
      </w:pPr>
      <w:r>
        <w:rPr>
          <w:rFonts w:ascii="仿宋_GB2312" w:eastAsia="仿宋_GB2312"/>
          <w:sz w:val="32"/>
        </w:rPr>
        <w:t>区卫生健康局会同区市场监督管理局建立重大药品不良反应和医疗器械不良事件相互通报机制和联和处置机制。</w:t>
      </w:r>
    </w:p>
    <w:p w14:paraId="1C7E8D28">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14:paraId="73D63E2B">
      <w:pPr>
        <w:pStyle w:val="6"/>
        <w:spacing w:line="560" w:lineRule="exact"/>
        <w:ind w:firstLine="640"/>
        <w:rPr>
          <w:rFonts w:hint="default" w:ascii="仿宋_GB2312" w:hAnsi="仿宋_GB2312" w:eastAsia="仿宋_GB2312" w:cs="仿宋_GB2312"/>
          <w:b/>
          <w:sz w:val="32"/>
          <w:szCs w:val="32"/>
        </w:rPr>
      </w:pPr>
      <w:r>
        <w:rPr>
          <w:rFonts w:ascii="仿宋_GB2312" w:hAnsi="仿宋_GB2312" w:eastAsia="仿宋_GB2312" w:cs="仿宋_GB2312"/>
          <w:b/>
          <w:sz w:val="32"/>
          <w:szCs w:val="32"/>
        </w:rPr>
        <w:t>纳入本部门2022年决算编制范围的二级预算单位包括：</w:t>
      </w:r>
    </w:p>
    <w:p w14:paraId="2DEEA799">
      <w:pPr>
        <w:numPr>
          <w:ilvl w:val="0"/>
          <w:numId w:val="1"/>
        </w:numPr>
        <w:ind w:firstLine="640" w:firstLineChars="200"/>
        <w:rPr>
          <w:rFonts w:hint="default" w:ascii="仿宋" w:hAnsi="仿宋" w:eastAsia="仿宋" w:cs="仿宋"/>
          <w:bCs/>
          <w:sz w:val="32"/>
          <w:szCs w:val="32"/>
        </w:rPr>
      </w:pPr>
      <w:r>
        <w:rPr>
          <w:rFonts w:ascii="仿宋" w:hAnsi="仿宋" w:eastAsia="仿宋" w:cs="仿宋"/>
          <w:bCs/>
          <w:sz w:val="32"/>
          <w:szCs w:val="32"/>
        </w:rPr>
        <w:t>沈阳市浑南区卫生健康局本级</w:t>
      </w:r>
    </w:p>
    <w:p w14:paraId="0B5ADA63">
      <w:pPr>
        <w:numPr>
          <w:ilvl w:val="0"/>
          <w:numId w:val="1"/>
        </w:numPr>
        <w:ind w:firstLine="640" w:firstLineChars="200"/>
        <w:rPr>
          <w:rFonts w:hint="default" w:ascii="仿宋" w:hAnsi="仿宋" w:eastAsia="仿宋" w:cs="仿宋"/>
          <w:bCs/>
          <w:sz w:val="32"/>
          <w:szCs w:val="32"/>
        </w:rPr>
      </w:pPr>
      <w:r>
        <w:rPr>
          <w:rFonts w:ascii="仿宋" w:hAnsi="仿宋" w:eastAsia="仿宋" w:cs="仿宋"/>
          <w:bCs/>
          <w:sz w:val="32"/>
          <w:szCs w:val="32"/>
        </w:rPr>
        <w:t>沈阳市浑南区疾病预防控制中心</w:t>
      </w:r>
    </w:p>
    <w:p w14:paraId="6AA433AF">
      <w:pPr>
        <w:numPr>
          <w:ilvl w:val="0"/>
          <w:numId w:val="1"/>
        </w:numPr>
        <w:ind w:firstLine="640" w:firstLineChars="200"/>
        <w:rPr>
          <w:rFonts w:hint="default" w:ascii="仿宋" w:hAnsi="仿宋" w:eastAsia="仿宋" w:cs="仿宋"/>
          <w:bCs/>
          <w:sz w:val="32"/>
          <w:szCs w:val="32"/>
        </w:rPr>
      </w:pPr>
      <w:r>
        <w:rPr>
          <w:rFonts w:ascii="仿宋" w:hAnsi="仿宋" w:eastAsia="仿宋" w:cs="仿宋"/>
          <w:bCs/>
          <w:sz w:val="32"/>
          <w:szCs w:val="32"/>
        </w:rPr>
        <w:t>沈阳市浑南区卫生健康监督中心</w:t>
      </w:r>
    </w:p>
    <w:p w14:paraId="0803EC4D">
      <w:pPr>
        <w:pStyle w:val="6"/>
        <w:spacing w:line="560" w:lineRule="exact"/>
        <w:rPr>
          <w:rFonts w:hint="default"/>
          <w:b/>
          <w:sz w:val="36"/>
        </w:rPr>
      </w:pPr>
    </w:p>
    <w:p w14:paraId="612DEB4B">
      <w:pPr>
        <w:pStyle w:val="6"/>
        <w:spacing w:line="560" w:lineRule="exact"/>
        <w:rPr>
          <w:rFonts w:hint="default"/>
          <w:b/>
          <w:sz w:val="36"/>
        </w:rPr>
      </w:pPr>
    </w:p>
    <w:p w14:paraId="576AD365">
      <w:pPr>
        <w:pStyle w:val="6"/>
        <w:spacing w:line="560" w:lineRule="exact"/>
        <w:jc w:val="center"/>
        <w:rPr>
          <w:rFonts w:hint="default"/>
          <w:b/>
          <w:sz w:val="36"/>
        </w:rPr>
      </w:pPr>
    </w:p>
    <w:p w14:paraId="7F5E93E2">
      <w:pPr>
        <w:pStyle w:val="6"/>
        <w:spacing w:line="560" w:lineRule="exact"/>
        <w:jc w:val="center"/>
        <w:rPr>
          <w:rFonts w:hint="default"/>
          <w:b/>
          <w:sz w:val="36"/>
        </w:rPr>
      </w:pPr>
      <w:r>
        <w:rPr>
          <w:b/>
          <w:sz w:val="36"/>
        </w:rPr>
        <w:t>第二部分 沈阳市浑南区卫生健康局2022年决算情况说明</w:t>
      </w:r>
    </w:p>
    <w:p w14:paraId="1E0F36DF">
      <w:pPr>
        <w:pStyle w:val="6"/>
        <w:spacing w:line="560" w:lineRule="exact"/>
        <w:ind w:firstLine="640" w:firstLineChars="200"/>
        <w:rPr>
          <w:rFonts w:hint="default" w:ascii="黑体" w:eastAsia="黑体"/>
          <w:sz w:val="32"/>
        </w:rPr>
      </w:pPr>
    </w:p>
    <w:p w14:paraId="1210AA59">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2F0370B6">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32522.72</w:t>
      </w:r>
      <w:r>
        <w:rPr>
          <w:rFonts w:ascii="楷体_GB2312" w:eastAsia="楷体_GB2312"/>
          <w:b/>
          <w:sz w:val="32"/>
        </w:rPr>
        <w:t>万元，包括：</w:t>
      </w:r>
    </w:p>
    <w:p w14:paraId="0623FBA6">
      <w:pPr>
        <w:pStyle w:val="6"/>
        <w:spacing w:line="560" w:lineRule="exact"/>
        <w:ind w:firstLine="660"/>
        <w:rPr>
          <w:rFonts w:ascii="仿宋_GB2312" w:eastAsia="仿宋_GB2312"/>
          <w:sz w:val="32"/>
        </w:rPr>
      </w:pPr>
      <w:r>
        <w:rPr>
          <w:rFonts w:ascii="仿宋_GB2312" w:eastAsia="仿宋_GB2312"/>
          <w:sz w:val="32"/>
        </w:rPr>
        <w:t>1.财政拨款收入</w:t>
      </w:r>
      <w:r>
        <w:rPr>
          <w:rFonts w:hint="default" w:ascii="仿宋_GB2312" w:eastAsia="仿宋_GB2312"/>
          <w:sz w:val="32"/>
        </w:rPr>
        <w:t>29698.76</w:t>
      </w:r>
      <w:r>
        <w:rPr>
          <w:rFonts w:ascii="仿宋_GB2312" w:eastAsia="仿宋_GB2312"/>
          <w:sz w:val="32"/>
        </w:rPr>
        <w:t>万元，占收入总计的91.32%。其中：一般公共预算财政拨款收入</w:t>
      </w:r>
      <w:r>
        <w:rPr>
          <w:rFonts w:hint="default" w:ascii="仿宋_GB2312" w:eastAsia="仿宋_GB2312"/>
          <w:sz w:val="32"/>
        </w:rPr>
        <w:t>29698.76</w:t>
      </w:r>
      <w:r>
        <w:rPr>
          <w:rFonts w:ascii="仿宋_GB2312" w:eastAsia="仿宋_GB2312"/>
          <w:sz w:val="32"/>
        </w:rPr>
        <w:t>万元，政府性基</w:t>
      </w:r>
    </w:p>
    <w:p w14:paraId="0133D5F2">
      <w:pPr>
        <w:pStyle w:val="6"/>
        <w:spacing w:line="560" w:lineRule="exact"/>
        <w:ind w:firstLine="660"/>
        <w:rPr>
          <w:rFonts w:hint="default" w:ascii="黑体" w:hAnsi="黑体" w:eastAsia="黑体" w:cs="黑体"/>
          <w:sz w:val="32"/>
          <w:szCs w:val="32"/>
        </w:rPr>
      </w:pPr>
      <w:r>
        <w:rPr>
          <w:rFonts w:hint="eastAsia" w:ascii="仿宋_GB2312" w:eastAsia="仿宋_GB2312"/>
          <w:sz w:val="32"/>
          <w:lang w:val="en-US" w:eastAsia="zh-CN"/>
        </w:rPr>
        <w:t>2</w:t>
      </w:r>
      <w:r>
        <w:rPr>
          <w:rFonts w:ascii="仿宋_GB2312" w:eastAsia="仿宋_GB2312"/>
          <w:sz w:val="32"/>
        </w:rPr>
        <w:t>.事业收入</w:t>
      </w:r>
      <w:r>
        <w:rPr>
          <w:rFonts w:hint="default" w:ascii="仿宋_GB2312" w:eastAsia="仿宋_GB2312"/>
          <w:sz w:val="32"/>
        </w:rPr>
        <w:t>2585.55</w:t>
      </w:r>
      <w:r>
        <w:rPr>
          <w:rFonts w:ascii="仿宋_GB2312" w:eastAsia="仿宋_GB2312"/>
          <w:sz w:val="32"/>
        </w:rPr>
        <w:t>万元，占收入总计的7.95%。主要是疾病预防控制机构收入。</w:t>
      </w:r>
    </w:p>
    <w:p w14:paraId="05CCD88A">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.其他收入91.86万元，占收入总计的0.28%。主要是重大公共卫生收入。</w:t>
      </w:r>
    </w:p>
    <w:p w14:paraId="6645708E">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4</w:t>
      </w:r>
      <w:r>
        <w:rPr>
          <w:rFonts w:ascii="仿宋_GB2312" w:eastAsia="仿宋_GB2312"/>
          <w:sz w:val="32"/>
        </w:rPr>
        <w:t>.上年结转和结余146.54万元，占收入总计的0.45%。主要是基本公共卫生、重大公共卫生等。</w:t>
      </w:r>
    </w:p>
    <w:p w14:paraId="11C42308">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与上年相比，今年收入增加5169.87万元，增长18.9%，主要原因：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14:paraId="5B15324C">
      <w:pPr>
        <w:pStyle w:val="6"/>
        <w:spacing w:line="560" w:lineRule="exact"/>
        <w:ind w:firstLine="660"/>
        <w:rPr>
          <w:rFonts w:hint="default" w:ascii="仿宋_GB2312" w:eastAsia="仿宋_GB2312"/>
          <w:sz w:val="32"/>
        </w:rPr>
      </w:pPr>
      <w:r>
        <w:rPr>
          <w:rFonts w:ascii="楷体_GB2312" w:eastAsia="楷体_GB2312"/>
          <w:b/>
          <w:sz w:val="32"/>
        </w:rPr>
        <w:t>（二）支出总计32410.99万元，包括：</w:t>
      </w:r>
      <w:r>
        <w:rPr>
          <w:rFonts w:ascii="仿宋_GB2312" w:eastAsia="仿宋_GB2312"/>
          <w:sz w:val="32"/>
        </w:rPr>
        <w:t xml:space="preserve"> 1.基本支出</w:t>
      </w:r>
      <w:r>
        <w:rPr>
          <w:rFonts w:hint="default" w:ascii="仿宋_GB2312" w:eastAsia="仿宋_GB2312"/>
          <w:sz w:val="32"/>
        </w:rPr>
        <w:t>3117.71</w:t>
      </w:r>
      <w:r>
        <w:rPr>
          <w:rFonts w:ascii="仿宋_GB2312" w:eastAsia="仿宋_GB2312"/>
          <w:sz w:val="32"/>
        </w:rPr>
        <w:t>万元，占支出总计的9.62 %。主要是为保障机构正常运转、完成日常工作任务而发生的各项支出，其中：工资福利支出</w:t>
      </w:r>
      <w:r>
        <w:rPr>
          <w:rFonts w:hint="default" w:ascii="仿宋_GB2312" w:eastAsia="仿宋_GB2312"/>
          <w:sz w:val="32"/>
        </w:rPr>
        <w:t>2867.93</w:t>
      </w:r>
      <w:r>
        <w:rPr>
          <w:rFonts w:ascii="仿宋_GB2312" w:eastAsia="仿宋_GB2312"/>
          <w:sz w:val="32"/>
        </w:rPr>
        <w:t>万元，对个人和家庭的补助支出75万元，商品和服务支出174.78万元。</w:t>
      </w:r>
    </w:p>
    <w:p w14:paraId="67FB0788">
      <w:pPr>
        <w:pStyle w:val="6"/>
        <w:spacing w:line="560" w:lineRule="exact"/>
        <w:ind w:firstLine="660"/>
        <w:rPr>
          <w:rFonts w:hint="default" w:ascii="仿宋_GB2312" w:eastAsia="仿宋_GB2312"/>
          <w:sz w:val="32"/>
        </w:rPr>
      </w:pPr>
      <w:r>
        <w:rPr>
          <w:rFonts w:ascii="仿宋_GB2312" w:eastAsia="仿宋_GB2312"/>
          <w:sz w:val="32"/>
        </w:rPr>
        <w:t>2.项目支出</w:t>
      </w:r>
      <w:r>
        <w:rPr>
          <w:rFonts w:hint="default" w:ascii="仿宋_GB2312" w:eastAsia="仿宋_GB2312"/>
          <w:sz w:val="32"/>
        </w:rPr>
        <w:t>29293.28</w:t>
      </w:r>
      <w:r>
        <w:rPr>
          <w:rFonts w:ascii="仿宋_GB2312" w:eastAsia="仿宋_GB2312"/>
          <w:sz w:val="32"/>
        </w:rPr>
        <w:t>万元，占支出总计的90.38%。主要包括重大公共卫生服务、基本公共卫生服务、计划生育服务等业务支出。</w:t>
      </w:r>
    </w:p>
    <w:p w14:paraId="1212EC30">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与上年相比，今年支出增加4504.68万元，增长16.14%，主要原因：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14:paraId="61B907D0">
      <w:pPr>
        <w:pStyle w:val="6"/>
        <w:spacing w:line="560" w:lineRule="exact"/>
        <w:ind w:firstLine="660"/>
        <w:rPr>
          <w:rFonts w:hint="default" w:ascii="楷体_GB2312" w:eastAsia="楷体_GB2312"/>
          <w:b/>
          <w:sz w:val="32"/>
        </w:rPr>
      </w:pPr>
      <w:r>
        <w:rPr>
          <w:rFonts w:ascii="楷体_GB2312" w:eastAsia="楷体_GB2312"/>
          <w:b/>
          <w:sz w:val="32"/>
        </w:rPr>
        <w:t>（三）年末结转和结余111.73万元</w:t>
      </w:r>
    </w:p>
    <w:p w14:paraId="7AE2EF3F">
      <w:pPr>
        <w:pStyle w:val="6"/>
        <w:spacing w:line="560" w:lineRule="exact"/>
        <w:ind w:firstLine="660"/>
        <w:rPr>
          <w:rFonts w:hint="default" w:ascii="仿宋_GB2312" w:eastAsia="仿宋_GB2312"/>
          <w:sz w:val="32"/>
        </w:rPr>
      </w:pPr>
      <w:r>
        <w:rPr>
          <w:rFonts w:ascii="仿宋_GB2312" w:eastAsia="仿宋_GB2312"/>
          <w:sz w:val="32"/>
        </w:rPr>
        <w:t>主要是基本公共卫生服务经费本年未支出等原因形成的结余。与上年相比，今年结转结余减少34.81万元，降低45.25%，主要原因：</w:t>
      </w:r>
      <w:r>
        <w:rPr>
          <w:rFonts w:ascii="黑体" w:eastAsia="黑体"/>
          <w:sz w:val="32"/>
        </w:rPr>
        <w:t>一是</w:t>
      </w:r>
      <w:r>
        <w:rPr>
          <w:rFonts w:ascii="仿宋_GB2312" w:eastAsia="仿宋_GB2312"/>
          <w:sz w:val="32"/>
        </w:rPr>
        <w:t>上年结转资金中上级重大公共卫生经费于本年支付。</w:t>
      </w:r>
    </w:p>
    <w:p w14:paraId="58D678BE">
      <w:pPr>
        <w:pStyle w:val="6"/>
        <w:spacing w:line="560" w:lineRule="exact"/>
        <w:ind w:firstLine="660"/>
        <w:rPr>
          <w:rFonts w:hint="default" w:ascii="黑体" w:eastAsia="黑体"/>
          <w:sz w:val="32"/>
        </w:rPr>
      </w:pPr>
      <w:r>
        <w:rPr>
          <w:rFonts w:ascii="黑体" w:eastAsia="黑体"/>
          <w:sz w:val="32"/>
        </w:rPr>
        <w:t>二、财政拨款收入支出决算情况说明</w:t>
      </w:r>
    </w:p>
    <w:p w14:paraId="6FFABDE6">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6232BBE9">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2022年度财政拨款支出</w:t>
      </w:r>
      <w:r>
        <w:rPr>
          <w:rFonts w:hint="default" w:ascii="楷体_GB2312" w:eastAsia="楷体_GB2312"/>
          <w:b/>
          <w:sz w:val="32"/>
        </w:rPr>
        <w:t>29698.76</w:t>
      </w:r>
      <w:r>
        <w:rPr>
          <w:rFonts w:ascii="仿宋_GB2312" w:eastAsia="仿宋_GB2312"/>
          <w:sz w:val="32"/>
        </w:rPr>
        <w:t>万元，其中：基本支出</w:t>
      </w:r>
      <w:r>
        <w:rPr>
          <w:rFonts w:hint="default" w:ascii="仿宋_GB2312" w:eastAsia="仿宋_GB2312"/>
          <w:sz w:val="32"/>
        </w:rPr>
        <w:t>3117.71</w:t>
      </w:r>
      <w:r>
        <w:rPr>
          <w:rFonts w:ascii="仿宋_GB2312" w:eastAsia="仿宋_GB2312"/>
          <w:sz w:val="32"/>
        </w:rPr>
        <w:t>万元，项目支出</w:t>
      </w:r>
      <w:r>
        <w:rPr>
          <w:rFonts w:hint="default" w:ascii="仿宋_GB2312" w:eastAsia="仿宋_GB2312"/>
          <w:sz w:val="32"/>
        </w:rPr>
        <w:t>26581.05</w:t>
      </w:r>
      <w:r>
        <w:rPr>
          <w:rFonts w:ascii="仿宋_GB2312" w:eastAsia="仿宋_GB2312"/>
          <w:sz w:val="32"/>
        </w:rPr>
        <w:t>万元。与上年相比，财政拨款支出增加5255.77万元，增长21.5%，主要原因：</w:t>
      </w:r>
      <w:r>
        <w:rPr>
          <w:rFonts w:ascii="黑体" w:eastAsia="黑体"/>
          <w:sz w:val="32"/>
        </w:rPr>
        <w:t>一是</w:t>
      </w:r>
      <w:r>
        <w:rPr>
          <w:rFonts w:ascii="仿宋_GB2312" w:eastAsia="仿宋_GB2312"/>
          <w:sz w:val="32"/>
        </w:rPr>
        <w:t>由于疫情原因重大公共卫生收入增加；</w:t>
      </w:r>
      <w:r>
        <w:rPr>
          <w:rFonts w:ascii="黑体" w:eastAsia="黑体"/>
          <w:sz w:val="32"/>
        </w:rPr>
        <w:t>二</w:t>
      </w:r>
      <w:r>
        <w:rPr>
          <w:rFonts w:ascii="仿宋_GB2312" w:eastAsia="仿宋_GB2312"/>
          <w:sz w:val="32"/>
        </w:rPr>
        <w:t>基层基本公共卫生收入较上年增加。</w:t>
      </w:r>
    </w:p>
    <w:p w14:paraId="6C2B38AC">
      <w:pPr>
        <w:pStyle w:val="6"/>
        <w:spacing w:line="560" w:lineRule="exact"/>
        <w:ind w:firstLine="660"/>
        <w:rPr>
          <w:rFonts w:hint="default" w:ascii="仿宋_GB2312" w:eastAsia="仿宋_GB2312"/>
          <w:sz w:val="32"/>
        </w:rPr>
      </w:pPr>
      <w:r>
        <w:rPr>
          <w:rFonts w:ascii="仿宋_GB2312" w:eastAsia="仿宋_GB2312"/>
          <w:sz w:val="32"/>
        </w:rPr>
        <w:t>与年初预算相比，2022年度财政拨款支出完成年初预算的149.36%，其中：基本支出完成年初预算的84.07%，项目支出完成年初预算的164.33%。</w:t>
      </w:r>
    </w:p>
    <w:p w14:paraId="19F12A8A">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14:paraId="1E3C9DC2">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w:t>
      </w:r>
      <w:r>
        <w:rPr>
          <w:rFonts w:hint="default" w:ascii="楷体_GB2312" w:eastAsia="楷体_GB2312"/>
          <w:b/>
          <w:sz w:val="32"/>
        </w:rPr>
        <w:t>29698.76</w:t>
      </w:r>
      <w:r>
        <w:rPr>
          <w:rFonts w:ascii="仿宋_GB2312" w:hAnsi="宋体" w:eastAsia="仿宋_GB2312"/>
          <w:sz w:val="32"/>
          <w:szCs w:val="32"/>
        </w:rPr>
        <w:t>万元，按支出功能分类科目分，包括：社会保障和就业支出</w:t>
      </w:r>
      <w:r>
        <w:rPr>
          <w:rFonts w:hint="default" w:ascii="仿宋_GB2312" w:hAnsi="宋体" w:eastAsia="仿宋_GB2312"/>
          <w:sz w:val="32"/>
          <w:szCs w:val="32"/>
        </w:rPr>
        <w:t>349.39</w:t>
      </w:r>
      <w:r>
        <w:rPr>
          <w:rFonts w:ascii="仿宋_GB2312" w:hAnsi="宋体" w:eastAsia="仿宋_GB2312"/>
          <w:sz w:val="32"/>
          <w:szCs w:val="32"/>
        </w:rPr>
        <w:t>万元，占1.18%；卫生健康支出</w:t>
      </w:r>
      <w:r>
        <w:rPr>
          <w:rFonts w:hint="default" w:ascii="仿宋_GB2312" w:hAnsi="宋体" w:eastAsia="仿宋_GB2312"/>
          <w:sz w:val="32"/>
          <w:szCs w:val="32"/>
        </w:rPr>
        <w:t>29048.22</w:t>
      </w:r>
      <w:r>
        <w:rPr>
          <w:rFonts w:ascii="仿宋_GB2312" w:hAnsi="宋体" w:eastAsia="仿宋_GB2312"/>
          <w:sz w:val="32"/>
          <w:szCs w:val="32"/>
        </w:rPr>
        <w:t>万元，占97.81%；住房保障支出</w:t>
      </w:r>
      <w:r>
        <w:rPr>
          <w:rFonts w:hint="default" w:ascii="仿宋_GB2312" w:hAnsi="宋体" w:eastAsia="仿宋_GB2312"/>
          <w:sz w:val="32"/>
          <w:szCs w:val="32"/>
        </w:rPr>
        <w:t>301.15</w:t>
      </w:r>
      <w:r>
        <w:rPr>
          <w:rFonts w:ascii="仿宋_GB2312" w:hAnsi="宋体" w:eastAsia="仿宋_GB2312"/>
          <w:sz w:val="32"/>
          <w:szCs w:val="32"/>
        </w:rPr>
        <w:t>万元，占1.01%。</w:t>
      </w:r>
    </w:p>
    <w:p w14:paraId="61B3067B">
      <w:pPr>
        <w:spacing w:line="540" w:lineRule="exact"/>
        <w:ind w:firstLine="660"/>
        <w:rPr>
          <w:rFonts w:hint="default" w:ascii="仿宋_GB2312" w:hAnsi="宋体" w:eastAsia="仿宋_GB2312"/>
          <w:sz w:val="32"/>
          <w:szCs w:val="32"/>
        </w:rPr>
      </w:pPr>
      <w:r>
        <w:rPr>
          <w:rFonts w:ascii="仿宋_GB2312" w:hAnsi="宋体" w:eastAsia="仿宋_GB2312"/>
          <w:sz w:val="32"/>
          <w:szCs w:val="32"/>
        </w:rPr>
        <w:t>1. 社会保障和就业支出</w:t>
      </w:r>
      <w:r>
        <w:rPr>
          <w:rFonts w:hint="default" w:ascii="仿宋_GB2312" w:hAnsi="宋体" w:eastAsia="仿宋_GB2312"/>
          <w:sz w:val="32"/>
          <w:szCs w:val="32"/>
        </w:rPr>
        <w:t>349.39</w:t>
      </w:r>
      <w:r>
        <w:rPr>
          <w:rFonts w:ascii="仿宋_GB2312" w:hAnsi="宋体" w:eastAsia="仿宋_GB2312"/>
          <w:sz w:val="32"/>
          <w:szCs w:val="32"/>
        </w:rPr>
        <w:t>万元，具体包括：行政事业单位养老支出、事业单位离退休、机关事业单位基本养老保险缴费等支出，完成年初预算的98.92%。决算数小于年初预算数的原因主要是单位职工减少。</w:t>
      </w:r>
    </w:p>
    <w:p w14:paraId="40DB80D2">
      <w:pPr>
        <w:spacing w:line="540" w:lineRule="exact"/>
        <w:ind w:firstLine="660"/>
        <w:rPr>
          <w:rFonts w:hint="default" w:ascii="仿宋_GB2312" w:hAnsi="宋体" w:eastAsia="仿宋_GB2312"/>
          <w:sz w:val="32"/>
          <w:szCs w:val="32"/>
        </w:rPr>
      </w:pPr>
      <w:r>
        <w:rPr>
          <w:rFonts w:ascii="仿宋_GB2312" w:hAnsi="宋体" w:eastAsia="仿宋_GB2312"/>
          <w:sz w:val="32"/>
          <w:szCs w:val="32"/>
        </w:rPr>
        <w:t>2卫生健康支出</w:t>
      </w:r>
      <w:r>
        <w:rPr>
          <w:rFonts w:hint="default" w:ascii="仿宋_GB2312" w:hAnsi="宋体" w:eastAsia="仿宋_GB2312"/>
          <w:sz w:val="32"/>
          <w:szCs w:val="32"/>
        </w:rPr>
        <w:t>29048.22</w:t>
      </w:r>
      <w:r>
        <w:rPr>
          <w:rFonts w:ascii="仿宋_GB2312" w:hAnsi="宋体" w:eastAsia="仿宋_GB2312"/>
          <w:sz w:val="32"/>
          <w:szCs w:val="32"/>
        </w:rPr>
        <w:t>万元，具体包括：公共卫生和行政事业医疗支出，完成年初预算的151.81%。决算数大于年初预算数的原因主要是疫情支出增加。</w:t>
      </w:r>
    </w:p>
    <w:p w14:paraId="4BD3BD34">
      <w:pPr>
        <w:spacing w:line="540" w:lineRule="exact"/>
        <w:ind w:firstLine="640" w:firstLineChars="200"/>
        <w:rPr>
          <w:rFonts w:hint="default" w:ascii="仿宋_GB2312" w:hAnsi="宋体" w:eastAsia="仿宋_GB2312"/>
          <w:sz w:val="32"/>
          <w:szCs w:val="32"/>
        </w:rPr>
      </w:pPr>
      <w:r>
        <w:rPr>
          <w:rFonts w:ascii="仿宋_GB2312" w:hAnsi="宋体" w:eastAsia="仿宋_GB2312"/>
          <w:sz w:val="32"/>
          <w:szCs w:val="32"/>
        </w:rPr>
        <w:t>3.住房保障支出</w:t>
      </w:r>
      <w:r>
        <w:rPr>
          <w:rFonts w:hint="default" w:ascii="仿宋_GB2312" w:hAnsi="宋体" w:eastAsia="仿宋_GB2312"/>
          <w:sz w:val="32"/>
          <w:szCs w:val="32"/>
        </w:rPr>
        <w:t>301.15</w:t>
      </w:r>
      <w:r>
        <w:rPr>
          <w:rFonts w:ascii="仿宋_GB2312" w:hAnsi="宋体" w:eastAsia="仿宋_GB2312"/>
          <w:sz w:val="32"/>
          <w:szCs w:val="32"/>
        </w:rPr>
        <w:t>万元，具体包括：住房公积金支出，完成年初预算的76.03%。决算数小于年初预算数的原因主要是公积金缴存基数调整。</w:t>
      </w:r>
    </w:p>
    <w:p w14:paraId="0CB03CA4">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（三）政府性基金预算财政拨款支出情况。</w:t>
      </w:r>
    </w:p>
    <w:p w14:paraId="356C558F">
      <w:pPr>
        <w:spacing w:line="560" w:lineRule="exact"/>
        <w:ind w:firstLine="660"/>
        <w:rPr>
          <w:rFonts w:hint="default" w:ascii="黑体" w:hAnsi="黑体" w:eastAsia="黑体" w:cs="黑体"/>
          <w:sz w:val="32"/>
          <w:szCs w:val="32"/>
        </w:rPr>
      </w:pPr>
      <w:r>
        <w:rPr>
          <w:rFonts w:ascii="黑体" w:hAnsi="黑体" w:eastAsia="黑体" w:cs="黑体"/>
          <w:sz w:val="32"/>
          <w:szCs w:val="32"/>
        </w:rPr>
        <w:t>本年未发生此项资金</w:t>
      </w:r>
    </w:p>
    <w:p w14:paraId="4ED4032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39397129">
      <w:pPr>
        <w:spacing w:line="560" w:lineRule="exact"/>
        <w:ind w:firstLine="660"/>
        <w:rPr>
          <w:rFonts w:hint="default" w:ascii="仿宋_GB2312" w:hAnsi="宋体" w:eastAsia="仿宋_GB2312"/>
          <w:sz w:val="32"/>
          <w:szCs w:val="32"/>
        </w:rPr>
      </w:pPr>
      <w:r>
        <w:rPr>
          <w:rFonts w:ascii="黑体" w:hAnsi="黑体" w:eastAsia="黑体" w:cs="黑体"/>
          <w:sz w:val="32"/>
          <w:szCs w:val="32"/>
        </w:rPr>
        <w:t>本年未发生此项资金</w:t>
      </w:r>
    </w:p>
    <w:p w14:paraId="68C44267">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68BA6D77">
      <w:pPr>
        <w:spacing w:line="540" w:lineRule="exact"/>
        <w:ind w:firstLine="645"/>
        <w:rPr>
          <w:rFonts w:hint="default" w:ascii="仿宋_GB2312" w:hAnsi="宋体" w:eastAsia="仿宋_GB2312"/>
          <w:sz w:val="32"/>
          <w:szCs w:val="32"/>
        </w:rPr>
      </w:pPr>
      <w:r>
        <w:rPr>
          <w:rFonts w:ascii="仿宋_GB2312" w:hAnsi="宋体" w:eastAsia="仿宋_GB2312"/>
          <w:sz w:val="32"/>
          <w:szCs w:val="32"/>
        </w:rPr>
        <w:t>2022年度一般公共预算财政拨款安排的“三公”经费支出0.97万元，完成全年预算的100%，其中：因公出国（境）费0万元，公务接待费0万元，公务用车购置及运行维护费0.97万元。</w:t>
      </w:r>
    </w:p>
    <w:p w14:paraId="30DA6C22">
      <w:pPr>
        <w:spacing w:line="540" w:lineRule="exact"/>
        <w:ind w:firstLine="645"/>
        <w:rPr>
          <w:rFonts w:hint="default" w:ascii="仿宋_GB2312" w:hAnsi="宋体" w:eastAsia="仿宋_GB2312"/>
          <w:sz w:val="32"/>
          <w:szCs w:val="32"/>
        </w:rPr>
      </w:pPr>
      <w:r>
        <w:rPr>
          <w:rFonts w:ascii="仿宋_GB2312" w:hAnsi="宋体" w:eastAsia="仿宋_GB2312"/>
          <w:sz w:val="32"/>
          <w:szCs w:val="32"/>
        </w:rPr>
        <w:t>1.因公出国（境）费0万元，占“三公”经费支出的0%。完成全年预算的0%，无出国任务。2022年参加出国（境）团组0个，累计0人次,2022年因公出国（境）费比上年减少0万元，0%，主要是均无出国任务。</w:t>
      </w:r>
    </w:p>
    <w:p w14:paraId="5014C1CB">
      <w:pPr>
        <w:spacing w:line="540" w:lineRule="exact"/>
        <w:ind w:firstLine="645"/>
        <w:rPr>
          <w:rFonts w:hint="default" w:ascii="仿宋_GB2312" w:hAnsi="宋体" w:eastAsia="仿宋_GB2312"/>
          <w:sz w:val="32"/>
          <w:szCs w:val="32"/>
        </w:rPr>
      </w:pPr>
      <w:r>
        <w:rPr>
          <w:rFonts w:ascii="仿宋_GB2312" w:hAnsi="宋体" w:eastAsia="仿宋_GB2312"/>
          <w:sz w:val="32"/>
          <w:szCs w:val="32"/>
        </w:rPr>
        <w:t>2.公务接待费0万元，占“三公”经费支出的0%。完成全年预算的0%。2022年国内公务接待累计0批次、0人、0万元，其中外事接待累计0批次、0人、0万元0。2022年公务接待费比上年减少0万元，下降0%，主要是无此业务。</w:t>
      </w:r>
    </w:p>
    <w:p w14:paraId="326EEEBD">
      <w:pPr>
        <w:spacing w:line="540" w:lineRule="exact"/>
        <w:ind w:firstLine="645"/>
        <w:rPr>
          <w:rFonts w:hint="default" w:ascii="仿宋_GB2312" w:hAnsi="宋体" w:eastAsia="仿宋_GB2312"/>
          <w:sz w:val="32"/>
          <w:szCs w:val="32"/>
        </w:rPr>
      </w:pPr>
      <w:r>
        <w:rPr>
          <w:rFonts w:ascii="仿宋_GB2312" w:hAnsi="宋体" w:eastAsia="仿宋_GB2312"/>
          <w:sz w:val="32"/>
          <w:szCs w:val="32"/>
        </w:rPr>
        <w:t>3.公务用车购置及运行费0.97万元，占“三公”经费支出的100%。完成全年预算的100%。比上年减少51.59万元，下降99%，主要无公务车购买。</w:t>
      </w:r>
    </w:p>
    <w:p w14:paraId="6BAB7F18">
      <w:pPr>
        <w:pStyle w:val="6"/>
        <w:autoSpaceDN w:val="0"/>
        <w:spacing w:line="560" w:lineRule="exact"/>
        <w:ind w:firstLine="640"/>
        <w:rPr>
          <w:rFonts w:hint="default" w:ascii="仿宋_GB2312" w:eastAsia="仿宋_GB2312"/>
          <w:sz w:val="32"/>
        </w:rPr>
      </w:pPr>
      <w:r>
        <w:rPr>
          <w:rFonts w:ascii="仿宋_GB2312" w:eastAsia="仿宋_GB2312"/>
          <w:sz w:val="32"/>
          <w:szCs w:val="32"/>
        </w:rPr>
        <w:t>其中：公务用车购置费0.97万元，主要用于支付2021年车辆购置尾款等,当年购置公务用车0辆。公务用车运行维护费0万元，0截至年末使用一般公共预算财政拨款开支运行维护费的公务用车保有量0辆</w:t>
      </w:r>
      <w:r>
        <w:rPr>
          <w:rFonts w:ascii="仿宋_GB2312" w:eastAsia="仿宋_GB2312"/>
          <w:sz w:val="32"/>
        </w:rPr>
        <w:t>。</w:t>
      </w:r>
    </w:p>
    <w:p w14:paraId="69CD4789">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30906D46">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w:t>
      </w:r>
      <w:r>
        <w:rPr>
          <w:rFonts w:hint="default" w:ascii="仿宋_GB2312" w:eastAsia="仿宋_GB2312"/>
          <w:sz w:val="32"/>
        </w:rPr>
        <w:t>3117.71</w:t>
      </w:r>
      <w:r>
        <w:rPr>
          <w:rFonts w:ascii="仿宋_GB2312" w:eastAsia="仿宋_GB2312"/>
          <w:sz w:val="32"/>
        </w:rPr>
        <w:t>万元，其中：人员经费2943.93万元，主要包括基本工资、津贴补贴、奖金、其他社会保障缴费、机关事业单位基本养老保险缴费、其他工资福利支出、离休费、退休费、抚恤金、生活补助、奖励金、住房公积金、采暖补贴、其他对个人和家庭补助的支出；日常公用经费174.78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68CBFCC">
      <w:pPr>
        <w:pStyle w:val="6"/>
        <w:spacing w:line="560" w:lineRule="exact"/>
        <w:ind w:firstLine="640"/>
        <w:rPr>
          <w:rFonts w:hint="default" w:ascii="黑体" w:eastAsia="黑体"/>
          <w:sz w:val="32"/>
        </w:rPr>
      </w:pPr>
      <w:r>
        <w:rPr>
          <w:rFonts w:ascii="黑体" w:eastAsia="黑体"/>
          <w:sz w:val="32"/>
        </w:rPr>
        <w:t>五、其他重要事项的情况说明</w:t>
      </w:r>
    </w:p>
    <w:p w14:paraId="1BE461E3">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14:paraId="60CD9545">
      <w:pPr>
        <w:pStyle w:val="6"/>
        <w:spacing w:line="560" w:lineRule="exact"/>
        <w:ind w:firstLine="640"/>
        <w:rPr>
          <w:rFonts w:hint="default" w:ascii="仿宋_GB2312" w:eastAsia="仿宋_GB2312"/>
          <w:sz w:val="32"/>
        </w:rPr>
      </w:pPr>
      <w:r>
        <w:rPr>
          <w:rFonts w:ascii="仿宋_GB2312" w:eastAsia="仿宋_GB2312"/>
          <w:sz w:val="32"/>
        </w:rPr>
        <w:t>2022年度机关运行经费支出</w:t>
      </w:r>
      <w:r>
        <w:rPr>
          <w:rFonts w:hint="default" w:ascii="仿宋_GB2312" w:eastAsia="仿宋_GB2312"/>
          <w:sz w:val="32"/>
        </w:rPr>
        <w:t>30.33</w:t>
      </w:r>
      <w:r>
        <w:rPr>
          <w:rFonts w:ascii="仿宋_GB2312" w:eastAsia="仿宋_GB2312"/>
          <w:sz w:val="32"/>
        </w:rPr>
        <w:t>万元，比上年决算数减少3.39万元，增长降低10.05%，主要原因是单位职工人数减少。</w:t>
      </w:r>
    </w:p>
    <w:p w14:paraId="043D0250">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（二）政府采购支出情况。</w:t>
      </w:r>
    </w:p>
    <w:p w14:paraId="1FCBB079">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14:paraId="60E083DE">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14:paraId="369E0B60">
      <w:pPr>
        <w:pStyle w:val="6"/>
        <w:spacing w:line="560" w:lineRule="exact"/>
        <w:ind w:firstLine="640"/>
        <w:rPr>
          <w:rFonts w:hint="default" w:ascii="仿宋_GB2312" w:eastAsia="仿宋_GB2312"/>
          <w:sz w:val="32"/>
        </w:rPr>
      </w:pPr>
      <w:r>
        <w:rPr>
          <w:rFonts w:ascii="仿宋_GB2312" w:eastAsia="仿宋_GB2312"/>
          <w:sz w:val="32"/>
        </w:rPr>
        <w:t>截至2022年12月31日，共有车辆6辆，其中：副省级以上领导干部用车0辆，主要领导干部用车0辆，机要通讯用车0辆，应急保障用车2辆，执法执勤用车0辆，特种专业技术用车0辆，离退休干部用车0辆，其他用车0辆，其他用车主要是4辆；单位价值50万元以上通用设备0台（套），单价100万元以上专用设备0台（套）。</w:t>
      </w:r>
    </w:p>
    <w:p w14:paraId="478BB548">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7260317C">
      <w:pPr>
        <w:widowControl/>
        <w:spacing w:line="520" w:lineRule="exact"/>
        <w:ind w:firstLine="643" w:firstLineChars="200"/>
        <w:jc w:val="left"/>
        <w:rPr>
          <w:rFonts w:hint="default" w:ascii="仿宋_GB2312" w:hAnsi="仿宋_GB2312" w:eastAsia="仿宋_GB2312" w:cs="仿宋_GB2312"/>
        </w:rPr>
      </w:pPr>
      <w:r>
        <w:rPr>
          <w:rFonts w:ascii="仿宋_GB2312" w:hAnsi="仿宋_GB2312" w:eastAsia="仿宋_GB2312" w:cs="仿宋_GB2312"/>
          <w:b/>
          <w:sz w:val="32"/>
          <w:szCs w:val="32"/>
        </w:rPr>
        <w:t>1.绩效评价工作开展情况。</w:t>
      </w:r>
    </w:p>
    <w:p w14:paraId="25ACFA8C">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根据预算</w:t>
      </w:r>
      <w:r>
        <w:rPr>
          <w:rFonts w:hAnsi="宋体" w:eastAsia="仿宋_GB2312" w:cs="仿宋_GB2312"/>
          <w:sz w:val="32"/>
          <w:szCs w:val="32"/>
        </w:rPr>
        <w:t>绩效</w:t>
      </w:r>
      <w:r>
        <w:rPr>
          <w:rFonts w:ascii="仿宋_GB2312" w:hAnsi="宋体" w:eastAsia="仿宋_GB2312" w:cs="仿宋_GB2312"/>
          <w:sz w:val="32"/>
          <w:szCs w:val="32"/>
        </w:rPr>
        <w:t>管理要求，本单位组织对</w:t>
      </w:r>
      <w:r>
        <w:rPr>
          <w:rFonts w:ascii="仿宋_GB2312" w:hAnsi="宋体" w:eastAsia="仿宋_GB2312" w:cs="宋体"/>
          <w:sz w:val="32"/>
          <w:szCs w:val="32"/>
        </w:rPr>
        <w:t>2022</w:t>
      </w:r>
      <w:r>
        <w:rPr>
          <w:rFonts w:ascii="仿宋_GB2312" w:hAnsi="宋体" w:eastAsia="仿宋_GB2312" w:cs="仿宋_GB2312"/>
          <w:sz w:val="32"/>
          <w:szCs w:val="32"/>
        </w:rPr>
        <w:t>年度预算项目支出全面开展绩效自评，共涉及预算支出项目24个（其中：一般公共预算项目24个），涉及资金1732.14万元（其中：一般公共预算资金1732.14万元），自评覆盖率（开展绩效自评的项目数</w:t>
      </w:r>
      <w:r>
        <w:rPr>
          <w:rFonts w:ascii="仿宋_GB2312" w:hAnsi="宋体" w:eastAsia="仿宋_GB2312" w:cs="宋体"/>
          <w:sz w:val="32"/>
          <w:szCs w:val="32"/>
        </w:rPr>
        <w:t>/年初批复绩效目标的项目数*100%）达到</w:t>
      </w:r>
      <w:r>
        <w:rPr>
          <w:rFonts w:ascii="仿宋_GB2312" w:hAnsi="宋体" w:eastAsia="仿宋_GB2312" w:cs="仿宋_GB2312"/>
          <w:sz w:val="32"/>
          <w:szCs w:val="32"/>
        </w:rPr>
        <w:t>100</w:t>
      </w:r>
      <w:r>
        <w:rPr>
          <w:rFonts w:ascii="仿宋_GB2312" w:hAnsi="宋体" w:eastAsia="仿宋_GB2312" w:cs="宋体"/>
          <w:sz w:val="32"/>
          <w:szCs w:val="32"/>
        </w:rPr>
        <w:t>%，自评平均分（开展绩效自评的项目分数总和/开展绩效自评的项目数）</w:t>
      </w:r>
      <w:r>
        <w:rPr>
          <w:rFonts w:ascii="仿宋_GB2312" w:hAnsi="宋体" w:eastAsia="仿宋_GB2312" w:cs="仿宋_GB2312"/>
          <w:sz w:val="32"/>
          <w:szCs w:val="32"/>
        </w:rPr>
        <w:t>92.65分。</w:t>
      </w:r>
    </w:p>
    <w:p w14:paraId="1B3B99C8">
      <w:pPr>
        <w:widowControl/>
        <w:spacing w:line="520" w:lineRule="exact"/>
        <w:ind w:firstLine="640" w:firstLineChars="200"/>
        <w:jc w:val="left"/>
        <w:rPr>
          <w:rFonts w:hint="default"/>
        </w:rPr>
      </w:pPr>
      <w:r>
        <w:rPr>
          <w:rFonts w:hAnsi="宋体" w:eastAsia="仿宋_GB2312" w:cs="仿宋_GB2312"/>
          <w:sz w:val="32"/>
          <w:szCs w:val="32"/>
        </w:rPr>
        <w:t>本部门</w:t>
      </w:r>
      <w:r>
        <w:rPr>
          <w:rFonts w:ascii="仿宋_GB2312" w:hAnsi="宋体" w:eastAsia="仿宋_GB2312" w:cs="仿宋_GB2312"/>
          <w:sz w:val="32"/>
          <w:szCs w:val="32"/>
        </w:rPr>
        <w:t>3</w:t>
      </w:r>
      <w:r>
        <w:rPr>
          <w:rFonts w:hAnsi="宋体" w:eastAsia="仿宋_GB2312" w:cs="仿宋_GB2312"/>
          <w:sz w:val="32"/>
          <w:szCs w:val="32"/>
        </w:rPr>
        <w:t>个单位开展整体绩效自评，涉及资金</w:t>
      </w:r>
      <w:r>
        <w:rPr>
          <w:rFonts w:ascii="仿宋_GB2312" w:hAnsi="宋体" w:eastAsia="仿宋_GB2312" w:cs="仿宋_GB2312"/>
          <w:sz w:val="32"/>
          <w:szCs w:val="32"/>
        </w:rPr>
        <w:t>5635.53</w:t>
      </w:r>
      <w:r>
        <w:rPr>
          <w:rFonts w:hAnsi="宋体" w:eastAsia="仿宋_GB2312" w:cs="仿宋_GB2312"/>
          <w:sz w:val="32"/>
          <w:szCs w:val="32"/>
        </w:rPr>
        <w:t>万元。《部门（单位）整体绩效自评表》见附件。</w:t>
      </w:r>
    </w:p>
    <w:p w14:paraId="0510C79C">
      <w:pPr>
        <w:widowControl/>
        <w:spacing w:line="520" w:lineRule="exact"/>
        <w:ind w:firstLine="640" w:firstLineChars="200"/>
        <w:jc w:val="left"/>
        <w:rPr>
          <w:rFonts w:hint="default" w:hAnsi="宋体" w:eastAsia="仿宋_GB2312" w:cs="仿宋_GB2312"/>
          <w:sz w:val="32"/>
          <w:szCs w:val="32"/>
        </w:rPr>
      </w:pPr>
      <w:r>
        <w:rPr>
          <w:rFonts w:hAnsi="宋体" w:eastAsia="仿宋_GB2312" w:cs="仿宋_GB2312"/>
          <w:sz w:val="32"/>
          <w:szCs w:val="32"/>
        </w:rPr>
        <w:t>本</w:t>
      </w:r>
      <w:r>
        <w:rPr>
          <w:rFonts w:hint="eastAsia" w:hAnsi="宋体" w:eastAsia="仿宋_GB2312" w:cs="仿宋_GB2312"/>
          <w:sz w:val="32"/>
          <w:szCs w:val="32"/>
          <w:lang w:eastAsia="zh-CN"/>
        </w:rPr>
        <w:t>部门</w:t>
      </w:r>
      <w:r>
        <w:rPr>
          <w:rFonts w:ascii="仿宋" w:hAnsi="仿宋" w:eastAsia="仿宋"/>
          <w:sz w:val="32"/>
        </w:rPr>
        <w:t>组织对“</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”等</w:t>
      </w:r>
      <w:r>
        <w:rPr>
          <w:rFonts w:ascii="仿宋_GB2312" w:hAnsi="宋体" w:eastAsia="仿宋_GB2312" w:cs="仿宋_GB2312"/>
          <w:sz w:val="32"/>
          <w:szCs w:val="32"/>
        </w:rPr>
        <w:t>24</w:t>
      </w:r>
      <w:r>
        <w:rPr>
          <w:rFonts w:ascii="仿宋" w:hAnsi="仿宋" w:eastAsia="仿宋"/>
          <w:sz w:val="32"/>
        </w:rPr>
        <w:t>个项目开展了部门评价，</w:t>
      </w:r>
      <w:r>
        <w:rPr>
          <w:rFonts w:hAnsi="宋体" w:eastAsia="仿宋_GB2312" w:cs="仿宋_GB2312"/>
          <w:sz w:val="32"/>
          <w:szCs w:val="32"/>
        </w:rPr>
        <w:t>涉及资金</w:t>
      </w:r>
      <w:r>
        <w:rPr>
          <w:rFonts w:ascii="仿宋_GB2312" w:hAnsi="宋体" w:eastAsia="仿宋_GB2312" w:cs="仿宋_GB2312"/>
          <w:sz w:val="32"/>
          <w:szCs w:val="32"/>
        </w:rPr>
        <w:t>1732.14</w:t>
      </w:r>
      <w:r>
        <w:rPr>
          <w:rFonts w:hAnsi="宋体" w:eastAsia="仿宋_GB2312" w:cs="仿宋_GB2312"/>
          <w:sz w:val="32"/>
          <w:szCs w:val="32"/>
        </w:rPr>
        <w:t>万元</w:t>
      </w:r>
      <w:r>
        <w:rPr>
          <w:rFonts w:ascii="仿宋_GB2312" w:hAnsi="宋体" w:eastAsia="仿宋_GB2312" w:cs="仿宋_GB2312"/>
          <w:sz w:val="32"/>
          <w:szCs w:val="32"/>
        </w:rPr>
        <w:t>（其中：一般公共预算资金1732.14万元）</w:t>
      </w:r>
      <w:r>
        <w:rPr>
          <w:rFonts w:hAnsi="宋体" w:eastAsia="仿宋_GB2312" w:cs="仿宋_GB2312"/>
          <w:sz w:val="32"/>
          <w:szCs w:val="32"/>
        </w:rPr>
        <w:t>。</w:t>
      </w:r>
    </w:p>
    <w:p w14:paraId="3CBA2191">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2.项目绩效自评结果。</w:t>
      </w:r>
    </w:p>
    <w:p w14:paraId="537CD8FF">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本部门在2022年度单位决算中反映</w:t>
      </w:r>
      <w:r>
        <w:rPr>
          <w:rFonts w:ascii="仿宋" w:hAnsi="仿宋" w:eastAsia="仿宋"/>
          <w:sz w:val="32"/>
        </w:rPr>
        <w:t>“</w:t>
      </w:r>
      <w:r>
        <w:rPr>
          <w:rFonts w:ascii="仿宋_GB2312" w:hAnsi="宋体" w:eastAsia="仿宋_GB2312" w:cs="仿宋_GB2312"/>
          <w:sz w:val="32"/>
          <w:szCs w:val="32"/>
        </w:rPr>
        <w:t>计划生育配套特别扶助金</w:t>
      </w:r>
      <w:r>
        <w:rPr>
          <w:rFonts w:ascii="仿宋" w:hAnsi="仿宋" w:eastAsia="仿宋"/>
          <w:sz w:val="32"/>
        </w:rPr>
        <w:t>”“</w:t>
      </w:r>
      <w:r>
        <w:rPr>
          <w:rFonts w:ascii="仿宋_GB2312" w:hAnsi="宋体" w:eastAsia="仿宋_GB2312" w:cs="仿宋_GB2312"/>
          <w:sz w:val="32"/>
          <w:szCs w:val="32"/>
        </w:rPr>
        <w:t>公共卫生项目</w:t>
      </w:r>
      <w:r>
        <w:rPr>
          <w:rFonts w:ascii="仿宋" w:hAnsi="仿宋" w:eastAsia="仿宋"/>
          <w:sz w:val="32"/>
        </w:rPr>
        <w:t>”</w:t>
      </w:r>
      <w:r>
        <w:rPr>
          <w:rFonts w:ascii="仿宋_GB2312" w:hAnsi="宋体" w:eastAsia="仿宋_GB2312" w:cs="仿宋_GB2312"/>
          <w:sz w:val="32"/>
          <w:szCs w:val="32"/>
        </w:rPr>
        <w:t>等24个项目绩效自评结果。</w:t>
      </w:r>
    </w:p>
    <w:p w14:paraId="3CB52AB9">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（1）“城镇双无业人员终身未生育子女补助费”项目自评综述：根据年初设定的绩效目标，项目自评得分100分。项目全年预算数为4.5万元，执行数为3.3万元，完成预算的73%。项目绩效目标完成情况：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09A31147">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（2）“独生子女退休补助金”项目自评综述：根据年初设定的绩效目标，项目自评得分100分。项目全年预算数为89.1万元，执行数为48.056万元，完成预算的54%。项目绩效目标完成情况：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75D6DDF1">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（3）“负责计生工作中心护长补助”项目自评综述：根据年初设定的绩效目标，项目自评得分100分。项目全年预算数为33.4万元，执行数为20.1万元，完成预算的60%。项目绩效目标完成情况：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负责计生工作中心护长补助每年发放人数无法具体预估，因此预算金额不准确。下一步改进措施：与街道配合工作，尽量详细了解发放人群信息，尽量准确预估此项目预算。</w:t>
      </w:r>
    </w:p>
    <w:p w14:paraId="63942798">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（4）“公共卫生项目”项目自评综述：根据年初设定的绩效目标，项目自评得分100分。项目全年预算数为935.5万元，执行数为786.99万元，完成预算的84%。项目绩效目标完成情况：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是基本公共卫生每年发放根据每年服务人口数量发放，无法具体预估，因此预算金额不准确。下一步改进措施：预算前尽量详细了解相关人口文件，根据最新的相关人口数量文件做预算，尽量准确预估此项目预算。</w:t>
      </w:r>
    </w:p>
    <w:p w14:paraId="50770AAE">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（5）“计划生育配套特别扶助金”项目自评综述：根据年初设定的绩效目标，项目自评得分100分。项目全年预算数为165.2万元，执行数为165.2万元，完成预算的100%。项目绩效目标完成情况：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09FF9711">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6）“计划生育特殊家庭（独生子女死亡）一次性抚慰金及签约服务费”项目自评综述：根据年初设定的绩效目标，项目自评得分100分。项目全年预算数为19.5万元，执行数为18.25万元，完成预算的94%。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50A6ABD2">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（7）“农村部分计划生育家庭奖励配套扶助金”项目自评综述：根据年初设定的绩效目标，项目自评得分100分。项目全年预算数为483.84万元，执行数为451.74万元，完成预算的93%。项目绩效目标完成情况：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计划生育家庭相关补助金每年发放人数无法具体预估，因此预算金额不准确。下一步改进措施：与街道配合工作，尽量详细了解发放人群信息，尽量准确预估此项目预算。</w:t>
      </w:r>
    </w:p>
    <w:p w14:paraId="042F6350">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（8）“计划生育历史遗留问题困难补助费”项目自评综述：根据年初设定的绩效目标，项目自评得分98.6分。项目全年预算数为89.1万元，执行数为</w:t>
      </w:r>
      <w:r>
        <w:rPr>
          <w:rFonts w:hint="default" w:ascii="仿宋_GB2312" w:hAnsi="宋体" w:eastAsia="仿宋_GB2312" w:cs="仿宋_GB2312"/>
          <w:sz w:val="32"/>
          <w:szCs w:val="32"/>
        </w:rPr>
        <w:t>76.53</w:t>
      </w:r>
      <w:r>
        <w:rPr>
          <w:rFonts w:ascii="仿宋_GB2312" w:hAnsi="宋体" w:eastAsia="仿宋_GB2312" w:cs="仿宋_GB2312"/>
          <w:sz w:val="32"/>
          <w:szCs w:val="32"/>
        </w:rPr>
        <w:t>万元，完成预算的86%。项目绩效目标完成情况：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574B1107">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（9）“计划生育历史遗留问题困难补助费”项目自评综述：根据年初设定的绩效目标，项目自评得分90分。项目全年预算数为5万元，执行数为0万元，完成预算的0%。项目绩效目标完成情况：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4A9994AF">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（10）“高龄老人补助”项目自评综述：根据年初设定的绩效目标，项目自评得分90分。项目全年预算数为3.5万元，执行数为0万元，完成预算的0%。项目绩效目标完成情况：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62CDD7A4">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（11）“计划生育特殊家庭住院护理保险补助”项目自评综述：根据年初设定的绩效目标，项目自评得分90分。项目全年预算数为3.6万元，执行数为0万元，完成预算的0%。项目绩效目标完成情况：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4E857969">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（12）“计划生育关怀专项资金”项目自评综述：根据年初设定的绩效目标，项目自评得分90分。项目全年预算数为10.5万元，执行数为0万元，完成预算的0%。项目绩效目标完成情况：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3CE61D05">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（13）“基层医疗机构改革奖补资金”项目自评综述：根据年初设定的绩效目标，项目自评得分90分。项目全年预算数为2662.74万元，执行数为0万元，完成预算的0%。项目绩效目标完成情况：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024AE93D">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（14）“基本药物制度补助资金”项目自评综述：根据年初设定的绩效目标，项目自评得分90分。项目全年预算数为52.02万元，执行数为0万元，完成预算的0%。项目绩效目标完成情况：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5A2773F2">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（15）“公立医院改革人员补助经费”项目自评综述：根据年初设定的绩效目标，项目自评得分90分。项目全年预算数为846.27万元，执行数为0万元，完成预算的0%。项目绩效目标完成情况：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2EE25B2C">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（16）“公立医院改革临时工补助经费”项目自评综述：根据年初设定的绩效目标，项目自评得分90分。项目全年预算数为682.68万元，执行数为0万元，完成预算的0%。项目绩效目标完成情况：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01C75C6A">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（17）“机关事业单位医保二次报销补助经费”项目自评综述：根据年初设定的绩效目标，项目自评得分90分。项目全年预算数为300万元，执行数为0万元，完成预算的0%。项目绩效目标完成情况：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0B1D0733">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（18）“区保健对象医疗保障”项目自评综述：根据年初设定的绩效目标，项目自评得分90分。项目全年预算数为882.66万元，执行数为0万元，完成预算的0%。项目绩效目标完成情况：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6254B8B7">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（19）“公务员及全额事业单位医疗补助”项目自评综述：根据年初设定的绩效目标，项目自评得分90分。项目全年预算数为2200万元，执行数为0万元，完成预算的0%。项目绩效目标完成情况：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25C6EEE7">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（20）“优秀企业家免费健康体检经费”项目自评综述：根据年初设定的绩效目标，项目自评得分90分。项目全年预算数为20.7万元，执行数为0万元，完成预算的0%。项目绩效目标完成情况：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171FB912">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（21）“老年乡村医生生活补助”项目自评综述：根据年初设定的绩效目标，项目自评得分90分。项目全年预算数为1512.67万元，执行数为0万元，完成预算的0%。项目绩效目标完成情况：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1C3DC8A6">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（22）“农村育龄夫妻提供计划生育免费技术服务”项目自评综述：根据年初设定的绩效目标，项目自评得分90分。项目全年预算数为27.3万元，执行数为0万元，完成预算的0%。项目绩效目标完成情况：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2C1CFF33">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（23）“大型活动专项”项目自评综述：根据年初设定的绩效目标，项目自评得分90分。项目全年预算数为10万元，执行数为0万元，完成预算的0%。项目绩效目标完成情况：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572E7E38">
      <w:pPr>
        <w:widowControl/>
        <w:spacing w:line="560" w:lineRule="exact"/>
        <w:ind w:firstLine="640" w:firstLineChars="200"/>
        <w:rPr>
          <w:rFonts w:hint="default" w:ascii="仿宋_GB2312" w:eastAsia="仿宋_GB2312"/>
          <w:sz w:val="32"/>
        </w:rPr>
      </w:pPr>
      <w:r>
        <w:rPr>
          <w:rFonts w:ascii="仿宋_GB2312" w:hAnsi="宋体" w:eastAsia="仿宋_GB2312" w:cs="仿宋_GB2312"/>
          <w:sz w:val="32"/>
          <w:szCs w:val="32"/>
        </w:rPr>
        <w:t>（24）“城镇双无业独生子女奖励费”项目自评综述：根据年初设定的绩效目标，项目自评得分90分。项目全年预算数为8.7万元，执行数为0万元，完成预算的0%。项目绩效目标完成情况：</w:t>
      </w:r>
      <w:r>
        <w:rPr>
          <w:rFonts w:ascii="黑体" w:hAnsi="宋体" w:eastAsia="黑体" w:cs="黑体"/>
          <w:sz w:val="32"/>
          <w:szCs w:val="32"/>
        </w:rPr>
        <w:t>一是</w:t>
      </w:r>
      <w:r>
        <w:rPr>
          <w:rFonts w:ascii="仿宋_GB2312" w:hAnsi="宋体" w:eastAsia="仿宋_GB2312" w:cs="仿宋_GB2312"/>
          <w:sz w:val="32"/>
          <w:szCs w:val="32"/>
        </w:rPr>
        <w:t>资金及时到位率</w:t>
      </w:r>
      <w:r>
        <w:rPr>
          <w:rFonts w:ascii="仿宋_GB2312" w:hAnsi="宋体" w:eastAsia="仿宋_GB2312" w:cs="宋体"/>
          <w:sz w:val="32"/>
          <w:szCs w:val="32"/>
        </w:rPr>
        <w:t>;</w:t>
      </w:r>
      <w:r>
        <w:rPr>
          <w:rFonts w:ascii="黑体" w:hAnsi="宋体" w:eastAsia="黑体" w:cs="黑体"/>
          <w:sz w:val="32"/>
          <w:szCs w:val="32"/>
        </w:rPr>
        <w:t>二是</w:t>
      </w:r>
      <w:r>
        <w:rPr>
          <w:rFonts w:ascii="仿宋_GB2312" w:hAnsi="宋体" w:eastAsia="仿宋_GB2312" w:cs="仿宋_GB2312"/>
          <w:sz w:val="32"/>
          <w:szCs w:val="32"/>
        </w:rPr>
        <w:t>资金足额发放率。发现的主要问题及原因：</w:t>
      </w:r>
      <w:r>
        <w:rPr>
          <w:rFonts w:ascii="仿宋_GB2312" w:eastAsia="仿宋_GB2312"/>
          <w:sz w:val="32"/>
        </w:rPr>
        <w:t>项目因疫情原因为开展。</w:t>
      </w:r>
    </w:p>
    <w:p w14:paraId="49F98C5B">
      <w:pPr>
        <w:widowControl/>
        <w:spacing w:line="560" w:lineRule="exact"/>
        <w:ind w:firstLine="320" w:firstLineChars="100"/>
        <w:rPr>
          <w:rFonts w:hint="default" w:ascii="仿宋_GB2312" w:hAnsi="宋体" w:eastAsia="仿宋_GB2312" w:cs="仿宋_GB2312"/>
          <w:sz w:val="32"/>
          <w:szCs w:val="32"/>
        </w:rPr>
      </w:pPr>
      <w:r>
        <w:rPr>
          <w:rFonts w:ascii="仿宋_GB2312" w:hAnsi="宋体" w:eastAsia="仿宋_GB2312" w:cs="仿宋_GB2312"/>
          <w:sz w:val="32"/>
          <w:szCs w:val="32"/>
        </w:rPr>
        <w:t>《预算（项目）政策绩效自评表》见附件。</w:t>
      </w:r>
    </w:p>
    <w:p w14:paraId="240880B2">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3.部门评价结果。</w:t>
      </w:r>
    </w:p>
    <w:p w14:paraId="782DBE6D">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规范预算管理、按规定调整下一年度预算金额、提升预算执行效率和效益</w:t>
      </w:r>
    </w:p>
    <w:p w14:paraId="3436F8D7">
      <w:pPr>
        <w:widowControl/>
        <w:spacing w:line="520" w:lineRule="exact"/>
        <w:ind w:firstLine="643" w:firstLineChars="200"/>
        <w:jc w:val="left"/>
        <w:rPr>
          <w:rFonts w:hint="default" w:ascii="仿宋_GB2312" w:hAnsi="宋体" w:eastAsia="仿宋_GB2312" w:cs="仿宋_GB2312"/>
          <w:b/>
          <w:bCs/>
          <w:sz w:val="32"/>
          <w:szCs w:val="32"/>
        </w:rPr>
      </w:pPr>
      <w:r>
        <w:rPr>
          <w:rFonts w:ascii="仿宋_GB2312" w:hAnsi="宋体" w:eastAsia="仿宋_GB2312" w:cs="仿宋_GB2312"/>
          <w:b/>
          <w:bCs/>
          <w:sz w:val="32"/>
          <w:szCs w:val="32"/>
        </w:rPr>
        <w:t>4.财政评价结果。</w:t>
      </w:r>
    </w:p>
    <w:p w14:paraId="45953D80">
      <w:pPr>
        <w:widowControl/>
        <w:spacing w:line="520" w:lineRule="exact"/>
        <w:ind w:firstLine="640" w:firstLineChars="200"/>
        <w:jc w:val="left"/>
        <w:rPr>
          <w:rFonts w:hint="default" w:ascii="仿宋_GB2312" w:hAnsi="宋体" w:eastAsia="仿宋_GB2312" w:cs="仿宋_GB2312"/>
          <w:sz w:val="32"/>
          <w:szCs w:val="32"/>
        </w:rPr>
      </w:pPr>
      <w:r>
        <w:rPr>
          <w:rFonts w:ascii="仿宋_GB2312" w:hAnsi="宋体" w:eastAsia="仿宋_GB2312" w:cs="仿宋_GB2312"/>
          <w:sz w:val="32"/>
          <w:szCs w:val="32"/>
        </w:rPr>
        <w:t>提升部门预算执行效率和利益。</w:t>
      </w:r>
    </w:p>
    <w:p w14:paraId="3E0C4419">
      <w:pPr>
        <w:pStyle w:val="6"/>
        <w:spacing w:line="560" w:lineRule="exact"/>
        <w:rPr>
          <w:rFonts w:hint="default"/>
          <w:b/>
          <w:sz w:val="36"/>
        </w:rPr>
      </w:pPr>
    </w:p>
    <w:p w14:paraId="01B83D9D">
      <w:pPr>
        <w:pStyle w:val="9"/>
        <w:autoSpaceDN w:val="0"/>
        <w:spacing w:line="560" w:lineRule="exact"/>
        <w:ind w:firstLine="2530" w:firstLineChars="700"/>
        <w:rPr>
          <w:b/>
          <w:bCs/>
          <w:sz w:val="36"/>
          <w:szCs w:val="36"/>
        </w:rPr>
      </w:pPr>
      <w:r>
        <w:rPr>
          <w:rFonts w:hint="eastAsia"/>
          <w:b/>
          <w:bCs/>
          <w:sz w:val="36"/>
          <w:szCs w:val="36"/>
        </w:rPr>
        <w:t>第三部分 名词解释</w:t>
      </w:r>
    </w:p>
    <w:p w14:paraId="6BA0BAED">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1FE2ACCB">
      <w:pPr>
        <w:pStyle w:val="6"/>
        <w:spacing w:line="560" w:lineRule="exact"/>
        <w:ind w:firstLine="640"/>
        <w:rPr>
          <w:rFonts w:hint="default" w:ascii="仿宋_GB2312" w:eastAsia="仿宋_GB2312"/>
          <w:sz w:val="32"/>
        </w:rPr>
      </w:pPr>
      <w:r>
        <w:rPr>
          <w:rFonts w:ascii="仿宋_GB2312" w:eastAsia="仿宋_GB2312"/>
          <w:b/>
          <w:sz w:val="32"/>
        </w:rPr>
        <w:t>2.其他收入：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1FCDD3A2">
      <w:pPr>
        <w:pStyle w:val="6"/>
        <w:spacing w:line="560" w:lineRule="exact"/>
        <w:ind w:firstLine="640"/>
        <w:rPr>
          <w:rFonts w:hint="default" w:ascii="仿宋_GB2312" w:eastAsia="仿宋_GB2312"/>
          <w:sz w:val="32"/>
        </w:rPr>
      </w:pPr>
      <w:r>
        <w:rPr>
          <w:rFonts w:ascii="仿宋_GB2312" w:eastAsia="仿宋_GB2312"/>
          <w:b/>
          <w:sz w:val="32"/>
        </w:rPr>
        <w:t>3.上年结转和结余：</w:t>
      </w:r>
      <w:r>
        <w:rPr>
          <w:rFonts w:ascii="仿宋_GB2312" w:eastAsia="仿宋_GB2312"/>
          <w:sz w:val="32"/>
        </w:rPr>
        <w:t>指以前年度尚未完成、结转到本年按有关规定继续使用的资金。</w:t>
      </w:r>
    </w:p>
    <w:p w14:paraId="7BDA711D">
      <w:pPr>
        <w:pStyle w:val="6"/>
        <w:spacing w:line="560" w:lineRule="exact"/>
        <w:ind w:firstLine="640"/>
        <w:rPr>
          <w:rFonts w:hint="default" w:ascii="仿宋_GB2312" w:eastAsia="仿宋_GB2312"/>
          <w:sz w:val="32"/>
        </w:rPr>
      </w:pPr>
      <w:r>
        <w:rPr>
          <w:rFonts w:ascii="仿宋_GB2312" w:eastAsia="仿宋_GB2312"/>
          <w:b/>
          <w:sz w:val="32"/>
        </w:rPr>
        <w:t>4.基本支出：</w:t>
      </w:r>
      <w:r>
        <w:rPr>
          <w:rFonts w:ascii="仿宋_GB2312" w:eastAsia="仿宋_GB2312"/>
          <w:sz w:val="32"/>
        </w:rPr>
        <w:t>指保障机构正常运转、完成日常工作任务而发生的人员支出和公用支出。</w:t>
      </w:r>
    </w:p>
    <w:p w14:paraId="11C9E5A0">
      <w:pPr>
        <w:pStyle w:val="6"/>
        <w:spacing w:line="560" w:lineRule="exact"/>
        <w:ind w:firstLine="640"/>
        <w:rPr>
          <w:rFonts w:hint="default" w:ascii="仿宋_GB2312" w:eastAsia="仿宋_GB2312"/>
          <w:sz w:val="32"/>
        </w:rPr>
      </w:pPr>
      <w:r>
        <w:rPr>
          <w:rFonts w:ascii="仿宋_GB2312" w:eastAsia="仿宋_GB2312"/>
          <w:b/>
          <w:sz w:val="32"/>
        </w:rPr>
        <w:t>5.项目支出：</w:t>
      </w:r>
      <w:r>
        <w:rPr>
          <w:rFonts w:ascii="仿宋_GB2312" w:eastAsia="仿宋_GB2312"/>
          <w:sz w:val="32"/>
        </w:rPr>
        <w:t>指在基本支出之外为完成特定行政任务和事业发展目标所发生的支出。</w:t>
      </w:r>
    </w:p>
    <w:p w14:paraId="32F62B23">
      <w:pPr>
        <w:pStyle w:val="6"/>
        <w:spacing w:line="560" w:lineRule="exact"/>
        <w:ind w:firstLine="640"/>
        <w:rPr>
          <w:rFonts w:hint="default" w:ascii="仿宋_GB2312" w:eastAsia="仿宋_GB2312"/>
          <w:sz w:val="32"/>
        </w:rPr>
      </w:pPr>
      <w:r>
        <w:rPr>
          <w:rFonts w:ascii="仿宋_GB2312" w:eastAsia="仿宋_GB2312"/>
          <w:b/>
          <w:sz w:val="32"/>
        </w:rPr>
        <w:t>6.上缴上级支出：</w:t>
      </w:r>
      <w:r>
        <w:rPr>
          <w:rFonts w:ascii="仿宋_GB2312" w:eastAsia="仿宋_GB2312"/>
          <w:sz w:val="32"/>
        </w:rPr>
        <w:t>指事业单位按照财政部门和主管部门的规定上缴上级单位的支出。</w:t>
      </w:r>
    </w:p>
    <w:p w14:paraId="4C2BA0ED">
      <w:pPr>
        <w:pStyle w:val="6"/>
        <w:spacing w:line="560" w:lineRule="exact"/>
        <w:ind w:firstLine="640"/>
        <w:rPr>
          <w:rFonts w:hint="default" w:ascii="仿宋_GB2312" w:eastAsia="仿宋_GB2312"/>
          <w:sz w:val="32"/>
        </w:rPr>
      </w:pPr>
      <w:r>
        <w:rPr>
          <w:rFonts w:ascii="仿宋_GB2312" w:eastAsia="仿宋_GB2312"/>
          <w:b/>
          <w:sz w:val="32"/>
        </w:rPr>
        <w:t>7.经营支出：</w:t>
      </w:r>
      <w:r>
        <w:rPr>
          <w:rFonts w:ascii="仿宋_GB2312" w:eastAsia="仿宋_GB2312"/>
          <w:sz w:val="32"/>
        </w:rPr>
        <w:t>指事业单位在专业活动及辅助活动之外开展非独立核算经营活动发生的支出。</w:t>
      </w:r>
    </w:p>
    <w:p w14:paraId="5E2279CB">
      <w:pPr>
        <w:pStyle w:val="6"/>
        <w:spacing w:line="560" w:lineRule="exact"/>
        <w:ind w:firstLine="640"/>
        <w:rPr>
          <w:rFonts w:hint="default" w:ascii="仿宋_GB2312" w:eastAsia="仿宋_GB2312"/>
          <w:b/>
          <w:sz w:val="32"/>
        </w:rPr>
      </w:pPr>
      <w:r>
        <w:rPr>
          <w:rFonts w:ascii="仿宋_GB2312" w:eastAsia="仿宋_GB2312"/>
          <w:b/>
          <w:sz w:val="32"/>
        </w:rPr>
        <w:t>8.对附属单位补助支出：</w:t>
      </w:r>
      <w:r>
        <w:rPr>
          <w:rFonts w:ascii="仿宋_GB2312" w:eastAsia="仿宋_GB2312"/>
          <w:sz w:val="32"/>
        </w:rPr>
        <w:t>指事业单位用财政补助收入之外的收入对附属单位补助发生的支出。</w:t>
      </w:r>
    </w:p>
    <w:p w14:paraId="664414A6">
      <w:pPr>
        <w:pStyle w:val="6"/>
        <w:spacing w:line="560" w:lineRule="exact"/>
        <w:ind w:firstLine="640"/>
        <w:rPr>
          <w:rFonts w:hint="default" w:ascii="仿宋_GB2312" w:eastAsia="仿宋_GB2312"/>
          <w:sz w:val="32"/>
        </w:rPr>
      </w:pPr>
      <w:r>
        <w:rPr>
          <w:rFonts w:ascii="仿宋_GB2312" w:eastAsia="仿宋_GB2312"/>
          <w:b/>
          <w:sz w:val="32"/>
        </w:rPr>
        <w:t>9.“三公”经费：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071DBE3">
      <w:pPr>
        <w:pStyle w:val="6"/>
        <w:spacing w:line="560" w:lineRule="exact"/>
        <w:ind w:firstLine="640"/>
        <w:rPr>
          <w:rFonts w:hint="default" w:ascii="仿宋_GB2312" w:eastAsia="仿宋_GB2312"/>
          <w:sz w:val="32"/>
          <w:szCs w:val="32"/>
        </w:rPr>
      </w:pPr>
      <w:r>
        <w:rPr>
          <w:rFonts w:ascii="仿宋_GB2312" w:eastAsia="仿宋_GB2312"/>
          <w:b/>
          <w:bCs/>
          <w:sz w:val="32"/>
        </w:rPr>
        <w:t>10.机关运行经费：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2B6C7EC">
      <w:pPr>
        <w:pStyle w:val="6"/>
        <w:spacing w:line="560" w:lineRule="exact"/>
        <w:ind w:firstLine="640"/>
        <w:rPr>
          <w:rFonts w:hint="default" w:ascii="仿宋_GB2312" w:eastAsia="仿宋_GB2312"/>
          <w:b/>
          <w:sz w:val="32"/>
        </w:rPr>
      </w:pPr>
      <w:r>
        <w:rPr>
          <w:rFonts w:ascii="仿宋_GB2312" w:eastAsia="仿宋_GB2312"/>
          <w:b/>
          <w:sz w:val="32"/>
        </w:rPr>
        <w:t>11.一般公共服务（类）财政事务（款）行政运行（项）：</w:t>
      </w:r>
      <w:r>
        <w:rPr>
          <w:rFonts w:ascii="仿宋_GB2312" w:eastAsia="仿宋_GB2312"/>
          <w:sz w:val="32"/>
        </w:rPr>
        <w:t>反映行政单位（包括实行公务员管理的事业单位）的基本支出。</w:t>
      </w:r>
    </w:p>
    <w:p w14:paraId="6C2AFEC4">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14:paraId="1E565D0F">
      <w:pPr>
        <w:pStyle w:val="6"/>
        <w:spacing w:line="560" w:lineRule="exact"/>
        <w:ind w:firstLine="640"/>
        <w:rPr>
          <w:rFonts w:hint="default" w:ascii="仿宋_GB2312" w:eastAsia="仿宋_GB2312"/>
          <w:i/>
          <w:sz w:val="32"/>
          <w:u w:val="single"/>
        </w:rPr>
      </w:pPr>
    </w:p>
    <w:p w14:paraId="39485944">
      <w:pPr>
        <w:pStyle w:val="6"/>
        <w:spacing w:line="560" w:lineRule="atLeast"/>
        <w:jc w:val="left"/>
        <w:rPr>
          <w:rFonts w:hint="default" w:ascii="仿宋_GB2312" w:hAnsi="仿宋_GB2312" w:eastAsia="仿宋_GB2312" w:cs="仿宋_GB2312"/>
          <w:b/>
          <w:sz w:val="52"/>
          <w:szCs w:val="52"/>
        </w:rPr>
      </w:pPr>
    </w:p>
    <w:p w14:paraId="22C0840C">
      <w:pPr>
        <w:pStyle w:val="6"/>
        <w:spacing w:line="560" w:lineRule="atLeast"/>
        <w:jc w:val="left"/>
        <w:rPr>
          <w:rFonts w:hint="default" w:ascii="仿宋_GB2312" w:hAnsi="仿宋_GB2312" w:eastAsia="仿宋_GB2312" w:cs="仿宋_GB2312"/>
          <w:b/>
          <w:sz w:val="52"/>
          <w:szCs w:val="52"/>
        </w:rPr>
      </w:pPr>
    </w:p>
    <w:p w14:paraId="2FB7FD62">
      <w:pPr>
        <w:pStyle w:val="6"/>
        <w:spacing w:line="560" w:lineRule="atLeast"/>
        <w:jc w:val="left"/>
        <w:rPr>
          <w:rFonts w:hint="default" w:ascii="仿宋_GB2312" w:hAnsi="仿宋_GB2312" w:eastAsia="仿宋_GB2312" w:cs="仿宋_GB2312"/>
          <w:b/>
          <w:sz w:val="52"/>
          <w:szCs w:val="52"/>
        </w:rPr>
      </w:pPr>
    </w:p>
    <w:p w14:paraId="5AA109C7">
      <w:pPr>
        <w:spacing w:line="540" w:lineRule="exact"/>
        <w:jc w:val="center"/>
        <w:rPr>
          <w:rFonts w:hint="default" w:ascii="仿宋_GB2312" w:hAnsi="仿宋_GB2312" w:eastAsia="仿宋_GB2312" w:cs="仿宋_GB2312"/>
          <w:b/>
          <w:sz w:val="52"/>
          <w:szCs w:val="52"/>
        </w:rPr>
      </w:pPr>
      <w:r>
        <w:rPr>
          <w:rFonts w:ascii="仿宋_GB2312" w:hAnsi="仿宋_GB2312" w:eastAsia="仿宋_GB2312" w:cs="仿宋_GB2312"/>
          <w:b/>
          <w:sz w:val="52"/>
          <w:szCs w:val="52"/>
        </w:rPr>
        <w:t>第四部分沈阳市浑南区卫生健康局</w:t>
      </w:r>
    </w:p>
    <w:p w14:paraId="4CF69AB1">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2022年度决算表</w:t>
      </w:r>
    </w:p>
    <w:p w14:paraId="55FE62BD">
      <w:pPr>
        <w:rPr>
          <w:rFonts w:hint="default" w:ascii="仿宋_GB2312" w:hAnsi="宋体" w:eastAsia="仿宋_GB2312"/>
          <w:kern w:val="0"/>
          <w:sz w:val="32"/>
        </w:rPr>
      </w:pPr>
    </w:p>
    <w:p w14:paraId="2803164E">
      <w:pPr>
        <w:rPr>
          <w:rFonts w:hint="default" w:ascii="仿宋_GB2312" w:hAnsi="宋体" w:eastAsia="仿宋_GB2312"/>
          <w:kern w:val="0"/>
          <w:sz w:val="32"/>
        </w:rPr>
      </w:pPr>
    </w:p>
    <w:p w14:paraId="7B2E1BCC">
      <w:pPr>
        <w:rPr>
          <w:rFonts w:hint="default" w:ascii="仿宋_GB2312" w:hAnsi="宋体" w:eastAsia="仿宋_GB2312"/>
          <w:kern w:val="0"/>
          <w:sz w:val="32"/>
        </w:rPr>
      </w:pPr>
    </w:p>
    <w:p w14:paraId="22C8A9D7">
      <w:pPr>
        <w:rPr>
          <w:rFonts w:hint="default" w:ascii="仿宋_GB2312" w:hAnsi="宋体" w:eastAsia="仿宋_GB2312"/>
          <w:kern w:val="0"/>
          <w:sz w:val="32"/>
        </w:rPr>
      </w:pPr>
    </w:p>
    <w:p w14:paraId="43888451">
      <w:pPr>
        <w:rPr>
          <w:rFonts w:hint="default" w:ascii="仿宋_GB2312" w:hAnsi="宋体" w:eastAsia="仿宋_GB2312"/>
          <w:kern w:val="0"/>
          <w:sz w:val="32"/>
        </w:rPr>
      </w:pPr>
    </w:p>
    <w:p w14:paraId="1145CB37">
      <w:pPr>
        <w:jc w:val="center"/>
        <w:rPr>
          <w:rFonts w:hint="default" w:ascii="宋体" w:hAnsi="宋体"/>
          <w:b/>
          <w:sz w:val="52"/>
          <w:szCs w:val="52"/>
        </w:rPr>
      </w:pPr>
    </w:p>
    <w:p w14:paraId="02470467">
      <w:pPr>
        <w:jc w:val="center"/>
        <w:rPr>
          <w:rFonts w:hint="default" w:ascii="宋体" w:hAnsi="宋体"/>
          <w:b/>
          <w:sz w:val="52"/>
          <w:szCs w:val="52"/>
        </w:rPr>
      </w:pPr>
    </w:p>
    <w:p w14:paraId="3E12BDA6">
      <w:pPr>
        <w:jc w:val="center"/>
        <w:rPr>
          <w:rFonts w:hint="default" w:ascii="宋体" w:hAnsi="宋体"/>
          <w:b/>
          <w:sz w:val="52"/>
          <w:szCs w:val="52"/>
        </w:rPr>
      </w:pPr>
    </w:p>
    <w:p w14:paraId="7AF0E1C4">
      <w:pPr>
        <w:numPr>
          <w:ilvl w:val="0"/>
          <w:numId w:val="2"/>
        </w:numPr>
        <w:jc w:val="center"/>
        <w:rPr>
          <w:rFonts w:hint="default" w:ascii="宋体" w:hAnsi="宋体"/>
          <w:b/>
          <w:sz w:val="52"/>
          <w:szCs w:val="52"/>
        </w:rPr>
      </w:pPr>
      <w:r>
        <w:rPr>
          <w:rFonts w:ascii="宋体" w:hAnsi="宋体"/>
          <w:b/>
          <w:sz w:val="52"/>
          <w:szCs w:val="52"/>
        </w:rPr>
        <w:t xml:space="preserve">  附件</w:t>
      </w:r>
    </w:p>
    <w:p w14:paraId="71ADD6AE">
      <w:pPr>
        <w:jc w:val="center"/>
        <w:rPr>
          <w:rFonts w:hint="default" w:ascii="宋体" w:hAnsi="宋体"/>
          <w:b/>
          <w:sz w:val="52"/>
          <w:szCs w:val="52"/>
        </w:rPr>
      </w:pPr>
    </w:p>
    <w:p w14:paraId="7554A097">
      <w:pPr>
        <w:jc w:val="center"/>
        <w:rPr>
          <w:rFonts w:hint="default" w:ascii="宋体" w:hAnsi="宋体"/>
          <w:b/>
          <w:sz w:val="52"/>
          <w:szCs w:val="52"/>
        </w:rPr>
      </w:pPr>
    </w:p>
    <w:p w14:paraId="625A40B4">
      <w:pPr>
        <w:jc w:val="center"/>
        <w:rPr>
          <w:rFonts w:hint="default" w:ascii="宋体" w:hAnsi="宋体"/>
          <w:b/>
          <w:sz w:val="52"/>
          <w:szCs w:val="52"/>
        </w:rPr>
      </w:pPr>
    </w:p>
    <w:p w14:paraId="2D296E4A">
      <w:pPr>
        <w:jc w:val="center"/>
        <w:rPr>
          <w:rFonts w:hint="default" w:ascii="宋体" w:hAnsi="宋体"/>
          <w:b/>
          <w:sz w:val="52"/>
          <w:szCs w:val="52"/>
        </w:rPr>
      </w:pPr>
    </w:p>
    <w:p w14:paraId="4CDB7EA8">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196EC">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5658D6"/>
    <w:multiLevelType w:val="singleLevel"/>
    <w:tmpl w:val="F25658D6"/>
    <w:lvl w:ilvl="0" w:tentative="0">
      <w:start w:val="1"/>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ZiZTQ3ZmI1OTFmODUzNzgwMGRlNDBmMWZiZDQzMjEifQ=="/>
  </w:docVars>
  <w:rsids>
    <w:rsidRoot w:val="1C635C29"/>
    <w:rsid w:val="000065E3"/>
    <w:rsid w:val="00027AA5"/>
    <w:rsid w:val="000438E5"/>
    <w:rsid w:val="00054C53"/>
    <w:rsid w:val="00060165"/>
    <w:rsid w:val="00070CEC"/>
    <w:rsid w:val="000B596F"/>
    <w:rsid w:val="000B61FB"/>
    <w:rsid w:val="00100607"/>
    <w:rsid w:val="0015723B"/>
    <w:rsid w:val="00163742"/>
    <w:rsid w:val="001A5995"/>
    <w:rsid w:val="001D0B4A"/>
    <w:rsid w:val="001E60D4"/>
    <w:rsid w:val="001F7E93"/>
    <w:rsid w:val="00214B14"/>
    <w:rsid w:val="002779D1"/>
    <w:rsid w:val="002933F4"/>
    <w:rsid w:val="002B6A00"/>
    <w:rsid w:val="002E0A24"/>
    <w:rsid w:val="002F793C"/>
    <w:rsid w:val="00320394"/>
    <w:rsid w:val="0032121A"/>
    <w:rsid w:val="00342E31"/>
    <w:rsid w:val="0038444A"/>
    <w:rsid w:val="00387684"/>
    <w:rsid w:val="003C4202"/>
    <w:rsid w:val="003E516F"/>
    <w:rsid w:val="00403740"/>
    <w:rsid w:val="004155E7"/>
    <w:rsid w:val="004233D2"/>
    <w:rsid w:val="00423919"/>
    <w:rsid w:val="0044142C"/>
    <w:rsid w:val="00485722"/>
    <w:rsid w:val="00490BD0"/>
    <w:rsid w:val="004C54B2"/>
    <w:rsid w:val="00505889"/>
    <w:rsid w:val="005069D0"/>
    <w:rsid w:val="00530B2F"/>
    <w:rsid w:val="00537909"/>
    <w:rsid w:val="005421CE"/>
    <w:rsid w:val="005546FF"/>
    <w:rsid w:val="005812D3"/>
    <w:rsid w:val="005814A4"/>
    <w:rsid w:val="00590A8D"/>
    <w:rsid w:val="005A05E2"/>
    <w:rsid w:val="005B2681"/>
    <w:rsid w:val="005C4DCE"/>
    <w:rsid w:val="005E5B5C"/>
    <w:rsid w:val="006043B9"/>
    <w:rsid w:val="00605CD4"/>
    <w:rsid w:val="006300BB"/>
    <w:rsid w:val="006402B8"/>
    <w:rsid w:val="006F46BF"/>
    <w:rsid w:val="006F4AE0"/>
    <w:rsid w:val="00701B01"/>
    <w:rsid w:val="00703415"/>
    <w:rsid w:val="007041D0"/>
    <w:rsid w:val="00721CA9"/>
    <w:rsid w:val="0072332F"/>
    <w:rsid w:val="00734122"/>
    <w:rsid w:val="00753B9D"/>
    <w:rsid w:val="00756329"/>
    <w:rsid w:val="00793DD5"/>
    <w:rsid w:val="00795776"/>
    <w:rsid w:val="007A3F31"/>
    <w:rsid w:val="007C5EAD"/>
    <w:rsid w:val="007C71FC"/>
    <w:rsid w:val="007F77B9"/>
    <w:rsid w:val="008040A1"/>
    <w:rsid w:val="00817A5F"/>
    <w:rsid w:val="0083478E"/>
    <w:rsid w:val="0083606F"/>
    <w:rsid w:val="00840B93"/>
    <w:rsid w:val="0086285F"/>
    <w:rsid w:val="0087123E"/>
    <w:rsid w:val="008742B2"/>
    <w:rsid w:val="008D2C68"/>
    <w:rsid w:val="009142FD"/>
    <w:rsid w:val="00954778"/>
    <w:rsid w:val="0096481D"/>
    <w:rsid w:val="00987754"/>
    <w:rsid w:val="009A188A"/>
    <w:rsid w:val="009E6398"/>
    <w:rsid w:val="009F69F8"/>
    <w:rsid w:val="00A05C23"/>
    <w:rsid w:val="00A17144"/>
    <w:rsid w:val="00A34442"/>
    <w:rsid w:val="00A5357A"/>
    <w:rsid w:val="00A57A14"/>
    <w:rsid w:val="00A946FD"/>
    <w:rsid w:val="00AA5596"/>
    <w:rsid w:val="00AA5D1B"/>
    <w:rsid w:val="00AA6A94"/>
    <w:rsid w:val="00AC190A"/>
    <w:rsid w:val="00AF314F"/>
    <w:rsid w:val="00B00B95"/>
    <w:rsid w:val="00B06DF1"/>
    <w:rsid w:val="00B11EB9"/>
    <w:rsid w:val="00B234D0"/>
    <w:rsid w:val="00B31139"/>
    <w:rsid w:val="00B4166F"/>
    <w:rsid w:val="00B5137B"/>
    <w:rsid w:val="00B54181"/>
    <w:rsid w:val="00B601A9"/>
    <w:rsid w:val="00BC09C4"/>
    <w:rsid w:val="00BC4207"/>
    <w:rsid w:val="00BD3725"/>
    <w:rsid w:val="00BF230C"/>
    <w:rsid w:val="00C0044A"/>
    <w:rsid w:val="00C12783"/>
    <w:rsid w:val="00C270DA"/>
    <w:rsid w:val="00D37CCB"/>
    <w:rsid w:val="00D70D16"/>
    <w:rsid w:val="00DC3915"/>
    <w:rsid w:val="00DD5836"/>
    <w:rsid w:val="00E304F8"/>
    <w:rsid w:val="00E30AC2"/>
    <w:rsid w:val="00E4305D"/>
    <w:rsid w:val="00E641D5"/>
    <w:rsid w:val="00E75027"/>
    <w:rsid w:val="00E8222B"/>
    <w:rsid w:val="00E95E51"/>
    <w:rsid w:val="00EA2BF5"/>
    <w:rsid w:val="00EF7416"/>
    <w:rsid w:val="00F12569"/>
    <w:rsid w:val="00F16B2B"/>
    <w:rsid w:val="00F31D38"/>
    <w:rsid w:val="00F35691"/>
    <w:rsid w:val="00F45ACD"/>
    <w:rsid w:val="00F473A4"/>
    <w:rsid w:val="00F67249"/>
    <w:rsid w:val="00F724E9"/>
    <w:rsid w:val="00F850AB"/>
    <w:rsid w:val="00FB22CD"/>
    <w:rsid w:val="01622E76"/>
    <w:rsid w:val="082C6248"/>
    <w:rsid w:val="09C4782E"/>
    <w:rsid w:val="0ECB7368"/>
    <w:rsid w:val="0FD91C07"/>
    <w:rsid w:val="11612EA5"/>
    <w:rsid w:val="12CC5588"/>
    <w:rsid w:val="131E2240"/>
    <w:rsid w:val="1B9703C5"/>
    <w:rsid w:val="1C635C29"/>
    <w:rsid w:val="1C6537BA"/>
    <w:rsid w:val="286C4199"/>
    <w:rsid w:val="28977847"/>
    <w:rsid w:val="2A3D2189"/>
    <w:rsid w:val="2BEB06F5"/>
    <w:rsid w:val="2E4F6256"/>
    <w:rsid w:val="36230505"/>
    <w:rsid w:val="3BA207ED"/>
    <w:rsid w:val="43ED4466"/>
    <w:rsid w:val="46CA2860"/>
    <w:rsid w:val="474058E8"/>
    <w:rsid w:val="474C6DD1"/>
    <w:rsid w:val="54F6469B"/>
    <w:rsid w:val="59C52B8D"/>
    <w:rsid w:val="5AE973A2"/>
    <w:rsid w:val="5B697371"/>
    <w:rsid w:val="67277FC8"/>
    <w:rsid w:val="673C6F2C"/>
    <w:rsid w:val="67572514"/>
    <w:rsid w:val="67F8364D"/>
    <w:rsid w:val="6DA15E5C"/>
    <w:rsid w:val="6FE5071F"/>
    <w:rsid w:val="70C70595"/>
    <w:rsid w:val="724179B2"/>
    <w:rsid w:val="770F5700"/>
    <w:rsid w:val="7B6F6159"/>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566408-2AFD-4591-99A7-DC9C40331DDA}">
  <ds:schemaRefs/>
</ds:datastoreItem>
</file>

<file path=docProps/app.xml><?xml version="1.0" encoding="utf-8"?>
<Properties xmlns="http://schemas.openxmlformats.org/officeDocument/2006/extended-properties" xmlns:vt="http://schemas.openxmlformats.org/officeDocument/2006/docPropsVTypes">
  <Template>Normal</Template>
  <Pages>22</Pages>
  <Words>9239</Words>
  <Characters>9885</Characters>
  <Lines>73</Lines>
  <Paragraphs>20</Paragraphs>
  <TotalTime>157</TotalTime>
  <ScaleCrop>false</ScaleCrop>
  <LinksUpToDate>false</LinksUpToDate>
  <CharactersWithSpaces>9963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2023-09-01T04:55:00Z</dcterms:created>
  <dc:creator>国库处-王艳秋</dc:creator>
  <cp:lastModifiedBy>杨洋</cp:lastModifiedBy>
  <cp:lastPrinted>2022-09-19T10:34:00Z</cp:lastPrinted>
  <dcterms:modified xsi:type="dcterms:W3CDTF">2026-01-28T01:50:43Z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